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rPr>
          <w:rFonts w:hint="eastAsia" w:ascii="宋体" w:hAnsi="宋体" w:eastAsia="宋体" w:cs="宋体"/>
          <w:sz w:val="30"/>
          <w:szCs w:val="30"/>
        </w:rPr>
      </w:pPr>
    </w:p>
    <w:p>
      <w:pPr>
        <w:jc w:val="center"/>
        <w:rPr>
          <w:rFonts w:hint="eastAsia" w:ascii="新宋体" w:hAnsi="新宋体" w:eastAsia="新宋体" w:cs="新宋体"/>
          <w:b/>
          <w:bCs/>
          <w:sz w:val="48"/>
          <w:szCs w:val="48"/>
        </w:rPr>
      </w:pPr>
      <w:r>
        <w:rPr>
          <w:rFonts w:hint="eastAsia" w:ascii="新宋体" w:hAnsi="新宋体" w:eastAsia="新宋体" w:cs="新宋体"/>
          <w:b/>
          <w:bCs/>
          <w:sz w:val="48"/>
          <w:szCs w:val="48"/>
        </w:rPr>
        <w:t>绵阳市商业银行股份有限公司</w:t>
      </w:r>
    </w:p>
    <w:p>
      <w:pPr>
        <w:jc w:val="center"/>
        <w:rPr>
          <w:rFonts w:ascii="新宋体" w:hAnsi="新宋体" w:eastAsia="新宋体" w:cs="新宋体"/>
          <w:b/>
          <w:bCs/>
          <w:color w:val="000000"/>
          <w:sz w:val="44"/>
          <w:szCs w:val="44"/>
        </w:rPr>
      </w:pPr>
      <w:r>
        <w:rPr>
          <w:rFonts w:hint="eastAsia" w:ascii="新宋体" w:hAnsi="新宋体" w:eastAsia="新宋体" w:cs="新宋体"/>
          <w:b/>
          <w:bCs/>
          <w:color w:val="000000"/>
          <w:sz w:val="48"/>
          <w:szCs w:val="48"/>
        </w:rPr>
        <w:t>2020年度环境信息披露报告</w:t>
      </w:r>
    </w:p>
    <w:p>
      <w:pPr>
        <w:jc w:val="center"/>
        <w:rPr>
          <w:rFonts w:ascii="新宋体" w:hAnsi="新宋体" w:eastAsia="新宋体" w:cs="新宋体"/>
          <w:b/>
          <w:bCs/>
          <w:sz w:val="44"/>
          <w:szCs w:val="44"/>
        </w:rPr>
      </w:pPr>
    </w:p>
    <w:p>
      <w:pPr>
        <w:jc w:val="center"/>
        <w:rPr>
          <w:rFonts w:ascii="新宋体" w:hAnsi="新宋体" w:eastAsia="新宋体" w:cs="新宋体"/>
          <w:b/>
          <w:bCs/>
          <w:sz w:val="44"/>
          <w:szCs w:val="44"/>
        </w:rPr>
      </w:pPr>
    </w:p>
    <w:p>
      <w:pPr>
        <w:jc w:val="center"/>
        <w:rPr>
          <w:rFonts w:ascii="新宋体" w:hAnsi="新宋体" w:eastAsia="新宋体" w:cs="新宋体"/>
          <w:b/>
          <w:bCs/>
          <w:sz w:val="44"/>
          <w:szCs w:val="44"/>
        </w:rPr>
      </w:pPr>
    </w:p>
    <w:p>
      <w:pPr>
        <w:jc w:val="center"/>
        <w:rPr>
          <w:rFonts w:hint="eastAsia" w:ascii="新宋体" w:hAnsi="新宋体" w:eastAsia="新宋体" w:cs="新宋体"/>
          <w:b/>
          <w:bCs/>
          <w:sz w:val="44"/>
          <w:szCs w:val="44"/>
          <w:lang w:eastAsia="zh-CN"/>
        </w:rPr>
      </w:pPr>
    </w:p>
    <w:p>
      <w:pPr>
        <w:jc w:val="center"/>
        <w:rPr>
          <w:rFonts w:ascii="新宋体" w:hAnsi="新宋体" w:eastAsia="新宋体" w:cs="新宋体"/>
          <w:b/>
          <w:bCs/>
          <w:sz w:val="44"/>
          <w:szCs w:val="44"/>
        </w:rPr>
      </w:pPr>
    </w:p>
    <w:p>
      <w:pPr>
        <w:jc w:val="center"/>
        <w:rPr>
          <w:rFonts w:ascii="新宋体" w:hAnsi="新宋体" w:eastAsia="新宋体" w:cs="新宋体"/>
          <w:b/>
          <w:bCs/>
          <w:sz w:val="44"/>
          <w:szCs w:val="44"/>
        </w:rPr>
      </w:pPr>
    </w:p>
    <w:p>
      <w:pPr>
        <w:jc w:val="center"/>
        <w:rPr>
          <w:rFonts w:ascii="新宋体" w:hAnsi="新宋体" w:eastAsia="新宋体" w:cs="新宋体"/>
          <w:b/>
          <w:bCs/>
          <w:sz w:val="44"/>
          <w:szCs w:val="44"/>
        </w:rPr>
      </w:pPr>
    </w:p>
    <w:p>
      <w:pPr>
        <w:jc w:val="center"/>
        <w:rPr>
          <w:rFonts w:ascii="新宋体" w:hAnsi="新宋体" w:eastAsia="新宋体" w:cs="新宋体"/>
          <w:b/>
          <w:bCs/>
          <w:sz w:val="44"/>
          <w:szCs w:val="44"/>
        </w:rPr>
      </w:pPr>
    </w:p>
    <w:p>
      <w:pPr>
        <w:jc w:val="center"/>
        <w:rPr>
          <w:rFonts w:ascii="新宋体" w:hAnsi="新宋体" w:eastAsia="新宋体" w:cs="新宋体"/>
          <w:b/>
          <w:bCs/>
          <w:sz w:val="44"/>
          <w:szCs w:val="44"/>
        </w:rPr>
      </w:pPr>
    </w:p>
    <w:p>
      <w:pPr>
        <w:jc w:val="center"/>
        <w:rPr>
          <w:rFonts w:ascii="新宋体" w:hAnsi="新宋体" w:eastAsia="新宋体" w:cs="新宋体"/>
          <w:b/>
          <w:bCs/>
          <w:sz w:val="44"/>
          <w:szCs w:val="44"/>
        </w:rPr>
      </w:pPr>
    </w:p>
    <w:p>
      <w:pPr>
        <w:jc w:val="center"/>
        <w:rPr>
          <w:rFonts w:ascii="新宋体" w:hAnsi="新宋体" w:eastAsia="新宋体" w:cs="新宋体"/>
          <w:b/>
          <w:bCs/>
          <w:sz w:val="44"/>
          <w:szCs w:val="44"/>
        </w:rPr>
      </w:pPr>
    </w:p>
    <w:p>
      <w:pPr>
        <w:widowControl w:val="0"/>
        <w:wordWrap/>
        <w:adjustRightInd/>
        <w:snapToGrid/>
        <w:spacing w:line="590" w:lineRule="exact"/>
        <w:ind w:right="0"/>
        <w:jc w:val="center"/>
        <w:textAlignment w:val="auto"/>
        <w:outlineLvl w:val="0"/>
        <w:rPr>
          <w:rFonts w:ascii="新宋体" w:hAnsi="新宋体" w:eastAsia="新宋体" w:cs="新宋体"/>
          <w:b/>
          <w:bCs/>
          <w:sz w:val="36"/>
          <w:szCs w:val="36"/>
        </w:rPr>
        <w:sectPr>
          <w:footerReference r:id="rId3" w:type="default"/>
          <w:pgSz w:w="11906" w:h="16838"/>
          <w:pgMar w:top="2098" w:right="1531" w:bottom="1701" w:left="1531" w:header="851" w:footer="992" w:gutter="0"/>
          <w:pgBorders>
            <w:top w:val="none" w:sz="0" w:space="0"/>
            <w:left w:val="none" w:sz="0" w:space="0"/>
            <w:bottom w:val="none" w:sz="0" w:space="0"/>
            <w:right w:val="none" w:sz="0" w:space="0"/>
          </w:pgBorders>
          <w:pgNumType w:fmt="decimal"/>
          <w:cols w:space="720" w:num="1"/>
          <w:rtlGutter w:val="0"/>
          <w:docGrid w:type="lines" w:linePitch="318" w:charSpace="0"/>
        </w:sectPr>
      </w:pPr>
      <w:bookmarkStart w:id="0" w:name="_Toc30921"/>
      <w:r>
        <w:rPr>
          <w:rFonts w:hint="eastAsia" w:ascii="新宋体" w:hAnsi="新宋体" w:eastAsia="新宋体" w:cs="新宋体"/>
          <w:b/>
          <w:bCs/>
          <w:sz w:val="36"/>
          <w:szCs w:val="36"/>
        </w:rPr>
        <w:t>2021</w:t>
      </w:r>
      <w:r>
        <w:rPr>
          <w:rFonts w:ascii="新宋体" w:hAnsi="新宋体" w:eastAsia="新宋体" w:cs="新宋体"/>
          <w:b/>
          <w:bCs/>
          <w:sz w:val="36"/>
          <w:szCs w:val="36"/>
        </w:rPr>
        <w:t>年</w:t>
      </w:r>
      <w:r>
        <w:rPr>
          <w:rFonts w:hint="eastAsia" w:ascii="新宋体" w:hAnsi="新宋体" w:eastAsia="新宋体" w:cs="新宋体"/>
          <w:b/>
          <w:bCs/>
          <w:sz w:val="36"/>
          <w:szCs w:val="36"/>
          <w:lang w:val="en-US" w:eastAsia="zh-CN"/>
        </w:rPr>
        <w:t>10</w:t>
      </w:r>
      <w:r>
        <w:rPr>
          <w:rFonts w:ascii="新宋体" w:hAnsi="新宋体" w:eastAsia="新宋体" w:cs="新宋体"/>
          <w:b/>
          <w:bCs/>
          <w:sz w:val="36"/>
          <w:szCs w:val="36"/>
        </w:rPr>
        <w:t>月</w:t>
      </w:r>
      <w:bookmarkEnd w:id="0"/>
      <w:bookmarkStart w:id="1" w:name="_Toc23176"/>
    </w:p>
    <w:p>
      <w:pPr>
        <w:widowControl w:val="0"/>
        <w:wordWrap/>
        <w:adjustRightInd/>
        <w:snapToGrid/>
        <w:spacing w:line="590" w:lineRule="exact"/>
        <w:ind w:right="0"/>
        <w:jc w:val="center"/>
        <w:textAlignment w:val="auto"/>
        <w:outlineLvl w:val="0"/>
        <w:rPr>
          <w:rFonts w:hint="eastAsia" w:ascii="新宋体" w:hAnsi="新宋体" w:eastAsia="新宋体" w:cs="新宋体"/>
          <w:b/>
          <w:bCs/>
          <w:sz w:val="36"/>
          <w:szCs w:val="36"/>
        </w:rPr>
      </w:pPr>
    </w:p>
    <w:p>
      <w:pPr>
        <w:widowControl w:val="0"/>
        <w:wordWrap/>
        <w:adjustRightInd/>
        <w:snapToGrid/>
        <w:spacing w:line="590" w:lineRule="exact"/>
        <w:ind w:right="0"/>
        <w:jc w:val="center"/>
        <w:textAlignment w:val="auto"/>
        <w:outlineLvl w:val="0"/>
        <w:rPr>
          <w:rFonts w:hint="eastAsia" w:ascii="黑体" w:hAnsi="黑体" w:eastAsia="黑体" w:cs="黑体"/>
          <w:b w:val="0"/>
          <w:bCs w:val="0"/>
          <w:sz w:val="44"/>
          <w:szCs w:val="44"/>
        </w:rPr>
      </w:pPr>
      <w:bookmarkStart w:id="2" w:name="_Toc14825"/>
      <w:r>
        <w:rPr>
          <w:rFonts w:hint="eastAsia" w:ascii="黑体" w:hAnsi="黑体" w:eastAsia="黑体" w:cs="黑体"/>
          <w:b w:val="0"/>
          <w:bCs w:val="0"/>
          <w:sz w:val="44"/>
          <w:szCs w:val="44"/>
        </w:rPr>
        <w:t>关于本报告</w:t>
      </w:r>
      <w:bookmarkEnd w:id="1"/>
      <w:bookmarkEnd w:id="2"/>
    </w:p>
    <w:p>
      <w:pPr>
        <w:widowControl w:val="0"/>
        <w:wordWrap/>
        <w:adjustRightInd/>
        <w:snapToGrid/>
        <w:spacing w:line="590" w:lineRule="exact"/>
        <w:ind w:right="0"/>
        <w:jc w:val="center"/>
        <w:textAlignment w:val="auto"/>
        <w:outlineLvl w:val="0"/>
        <w:rPr>
          <w:rFonts w:hint="eastAsia" w:ascii="黑体" w:hAnsi="黑体" w:eastAsia="黑体" w:cs="黑体"/>
          <w:b w:val="0"/>
          <w:bCs w:val="0"/>
          <w:sz w:val="32"/>
          <w:szCs w:val="32"/>
        </w:rPr>
      </w:pPr>
    </w:p>
    <w:p>
      <w:pPr>
        <w:widowControl w:val="0"/>
        <w:wordWrap/>
        <w:adjustRightInd/>
        <w:snapToGrid/>
        <w:spacing w:line="590" w:lineRule="exact"/>
        <w:ind w:left="0" w:leftChars="0" w:right="0" w:firstLine="707" w:firstLineChars="220"/>
        <w:jc w:val="both"/>
        <w:textAlignment w:val="auto"/>
        <w:rPr>
          <w:rFonts w:ascii="仿宋" w:hAnsi="仿宋" w:eastAsia="仿宋" w:cs="仿宋"/>
          <w:sz w:val="32"/>
          <w:szCs w:val="32"/>
        </w:rPr>
      </w:pPr>
      <w:r>
        <w:rPr>
          <w:rFonts w:hint="eastAsia" w:ascii="仿宋" w:hAnsi="仿宋" w:eastAsia="仿宋" w:cs="仿宋"/>
          <w:b/>
          <w:bCs/>
          <w:sz w:val="32"/>
          <w:szCs w:val="32"/>
        </w:rPr>
        <w:t>报告期间</w:t>
      </w:r>
      <w:r>
        <w:rPr>
          <w:rFonts w:hint="eastAsia" w:ascii="仿宋" w:hAnsi="仿宋" w:eastAsia="仿宋" w:cs="仿宋"/>
          <w:sz w:val="32"/>
          <w:szCs w:val="32"/>
        </w:rPr>
        <w:t>：2020年1月1日至2020年12月31日。</w:t>
      </w:r>
    </w:p>
    <w:p>
      <w:pPr>
        <w:widowControl w:val="0"/>
        <w:wordWrap/>
        <w:adjustRightInd/>
        <w:snapToGrid/>
        <w:spacing w:line="590" w:lineRule="exact"/>
        <w:ind w:left="0" w:leftChars="0" w:right="0" w:firstLine="707" w:firstLineChars="220"/>
        <w:jc w:val="both"/>
        <w:textAlignment w:val="auto"/>
        <w:rPr>
          <w:rFonts w:ascii="仿宋" w:hAnsi="仿宋" w:eastAsia="仿宋" w:cs="仿宋"/>
          <w:sz w:val="32"/>
          <w:szCs w:val="32"/>
        </w:rPr>
      </w:pPr>
      <w:r>
        <w:rPr>
          <w:rFonts w:hint="eastAsia" w:ascii="仿宋" w:hAnsi="仿宋" w:eastAsia="仿宋" w:cs="仿宋"/>
          <w:b/>
          <w:bCs/>
          <w:sz w:val="32"/>
          <w:szCs w:val="32"/>
        </w:rPr>
        <w:t>报告周期</w:t>
      </w:r>
      <w:r>
        <w:rPr>
          <w:rFonts w:hint="eastAsia" w:ascii="仿宋" w:hAnsi="仿宋" w:eastAsia="仿宋" w:cs="仿宋"/>
          <w:sz w:val="32"/>
          <w:szCs w:val="32"/>
        </w:rPr>
        <w:t>：年度报告。</w:t>
      </w:r>
    </w:p>
    <w:p>
      <w:pPr>
        <w:widowControl w:val="0"/>
        <w:wordWrap/>
        <w:adjustRightInd/>
        <w:snapToGrid/>
        <w:spacing w:line="590" w:lineRule="exact"/>
        <w:ind w:left="0" w:leftChars="0" w:right="0" w:firstLine="707" w:firstLineChars="220"/>
        <w:jc w:val="both"/>
        <w:textAlignment w:val="auto"/>
        <w:rPr>
          <w:rFonts w:ascii="仿宋" w:hAnsi="仿宋" w:eastAsia="仿宋" w:cs="仿宋"/>
          <w:sz w:val="32"/>
          <w:szCs w:val="32"/>
        </w:rPr>
      </w:pPr>
      <w:r>
        <w:rPr>
          <w:rFonts w:hint="eastAsia" w:ascii="仿宋" w:hAnsi="仿宋" w:eastAsia="仿宋" w:cs="仿宋"/>
          <w:b/>
          <w:bCs/>
          <w:sz w:val="32"/>
          <w:szCs w:val="32"/>
        </w:rPr>
        <w:t>报告范围</w:t>
      </w:r>
      <w:r>
        <w:rPr>
          <w:rFonts w:hint="eastAsia" w:ascii="仿宋" w:hAnsi="仿宋" w:eastAsia="仿宋" w:cs="仿宋"/>
          <w:sz w:val="32"/>
          <w:szCs w:val="32"/>
        </w:rPr>
        <w:t>：本报告以绵阳市商业银行股份有限公司为主体，涵盖总行、各分支行，除特别说明</w:t>
      </w:r>
      <w:r>
        <w:rPr>
          <w:rFonts w:hint="eastAsia" w:ascii="仿宋" w:hAnsi="仿宋" w:eastAsia="仿宋" w:cs="仿宋"/>
          <w:sz w:val="32"/>
          <w:szCs w:val="32"/>
          <w:lang w:eastAsia="zh-CN"/>
        </w:rPr>
        <w:t>外</w:t>
      </w:r>
      <w:r>
        <w:rPr>
          <w:rFonts w:hint="eastAsia" w:ascii="仿宋" w:hAnsi="仿宋" w:eastAsia="仿宋" w:cs="仿宋"/>
          <w:sz w:val="32"/>
          <w:szCs w:val="32"/>
        </w:rPr>
        <w:t>。</w:t>
      </w:r>
    </w:p>
    <w:p>
      <w:pPr>
        <w:widowControl w:val="0"/>
        <w:wordWrap/>
        <w:adjustRightInd/>
        <w:snapToGrid/>
        <w:spacing w:line="590" w:lineRule="exact"/>
        <w:ind w:left="0" w:leftChars="0" w:right="0" w:firstLine="707" w:firstLineChars="220"/>
        <w:jc w:val="both"/>
        <w:textAlignment w:val="auto"/>
        <w:rPr>
          <w:rFonts w:hint="eastAsia" w:ascii="仿宋" w:hAnsi="仿宋" w:eastAsia="仿宋" w:cs="仿宋"/>
          <w:sz w:val="32"/>
          <w:szCs w:val="32"/>
          <w:lang w:eastAsia="zh-CN"/>
        </w:rPr>
      </w:pPr>
      <w:r>
        <w:rPr>
          <w:rFonts w:hint="eastAsia" w:ascii="仿宋" w:hAnsi="仿宋" w:eastAsia="仿宋" w:cs="仿宋"/>
          <w:b/>
          <w:bCs/>
          <w:sz w:val="32"/>
          <w:szCs w:val="32"/>
        </w:rPr>
        <w:t>编制依据</w:t>
      </w:r>
      <w:r>
        <w:rPr>
          <w:rFonts w:hint="eastAsia" w:ascii="仿宋" w:hAnsi="仿宋" w:eastAsia="仿宋" w:cs="仿宋"/>
          <w:sz w:val="32"/>
          <w:szCs w:val="32"/>
        </w:rPr>
        <w:t>：本报告依据2021年7月22日中国人民银行发布</w:t>
      </w:r>
      <w:r>
        <w:rPr>
          <w:rFonts w:hint="eastAsia" w:ascii="仿宋" w:hAnsi="仿宋" w:eastAsia="仿宋" w:cs="仿宋"/>
          <w:sz w:val="32"/>
          <w:szCs w:val="32"/>
          <w:lang w:eastAsia="zh-CN"/>
        </w:rPr>
        <w:t>的</w:t>
      </w:r>
      <w:r>
        <w:rPr>
          <w:rFonts w:hint="eastAsia" w:ascii="仿宋" w:hAnsi="仿宋" w:eastAsia="仿宋" w:cs="仿宋"/>
          <w:sz w:val="32"/>
          <w:szCs w:val="32"/>
        </w:rPr>
        <w:t>《金融机构环境信息披露指南》（JR/T 0227—2021）金融行业标准</w:t>
      </w:r>
      <w:r>
        <w:rPr>
          <w:rFonts w:hint="eastAsia" w:ascii="仿宋" w:hAnsi="仿宋" w:eastAsia="仿宋" w:cs="仿宋"/>
          <w:sz w:val="32"/>
          <w:szCs w:val="32"/>
          <w:lang w:eastAsia="zh-CN"/>
        </w:rPr>
        <w:t>编制。</w:t>
      </w:r>
    </w:p>
    <w:p>
      <w:pPr>
        <w:widowControl w:val="0"/>
        <w:wordWrap/>
        <w:adjustRightInd/>
        <w:snapToGrid/>
        <w:spacing w:line="590" w:lineRule="exact"/>
        <w:ind w:left="0" w:leftChars="0" w:right="0" w:firstLine="707" w:firstLineChars="220"/>
        <w:jc w:val="both"/>
        <w:textAlignment w:val="auto"/>
        <w:rPr>
          <w:rFonts w:hint="eastAsia" w:ascii="仿宋" w:hAnsi="仿宋" w:eastAsia="仿宋" w:cs="仿宋"/>
          <w:sz w:val="32"/>
          <w:szCs w:val="32"/>
          <w:lang w:eastAsia="zh-CN"/>
        </w:rPr>
      </w:pPr>
      <w:r>
        <w:rPr>
          <w:rFonts w:hint="eastAsia" w:ascii="仿宋" w:hAnsi="仿宋" w:eastAsia="仿宋" w:cs="仿宋"/>
          <w:b/>
          <w:bCs/>
          <w:sz w:val="32"/>
          <w:szCs w:val="32"/>
        </w:rPr>
        <w:t>数据收集</w:t>
      </w:r>
      <w:r>
        <w:rPr>
          <w:rFonts w:hint="eastAsia" w:ascii="仿宋" w:hAnsi="仿宋" w:eastAsia="仿宋" w:cs="仿宋"/>
          <w:sz w:val="32"/>
          <w:szCs w:val="32"/>
        </w:rPr>
        <w:t>：本报告中的财务数据以2020年1月至2020年12月期间的数据为主，部分数据涉及2021年情况，主要来自于本行内部文件和相关统计资料。</w:t>
      </w:r>
    </w:p>
    <w:p>
      <w:pPr>
        <w:widowControl w:val="0"/>
        <w:wordWrap/>
        <w:adjustRightInd/>
        <w:snapToGrid/>
        <w:spacing w:line="590" w:lineRule="exact"/>
        <w:ind w:left="0" w:leftChars="0" w:right="0" w:firstLine="707" w:firstLineChars="220"/>
        <w:jc w:val="both"/>
        <w:textAlignment w:val="auto"/>
        <w:rPr>
          <w:rFonts w:ascii="仿宋" w:hAnsi="仿宋" w:eastAsia="仿宋" w:cs="仿宋"/>
          <w:sz w:val="32"/>
          <w:szCs w:val="32"/>
        </w:rPr>
      </w:pPr>
      <w:r>
        <w:rPr>
          <w:rFonts w:hint="eastAsia" w:ascii="仿宋" w:hAnsi="仿宋" w:eastAsia="仿宋" w:cs="仿宋"/>
          <w:b/>
          <w:bCs/>
          <w:sz w:val="32"/>
          <w:szCs w:val="32"/>
        </w:rPr>
        <w:t>指代说明</w:t>
      </w:r>
      <w:r>
        <w:rPr>
          <w:rFonts w:hint="eastAsia" w:ascii="仿宋" w:hAnsi="仿宋" w:eastAsia="仿宋" w:cs="仿宋"/>
          <w:sz w:val="32"/>
          <w:szCs w:val="32"/>
        </w:rPr>
        <w:t>：为便于表达，在报告中“绵阳市商业银行股份有限公司”以“绵阳市商业银行”、“我行”或“本行”表达。</w:t>
      </w:r>
    </w:p>
    <w:p>
      <w:pPr>
        <w:widowControl w:val="0"/>
        <w:wordWrap/>
        <w:adjustRightInd/>
        <w:snapToGrid/>
        <w:spacing w:line="590" w:lineRule="exact"/>
        <w:ind w:left="0" w:leftChars="0" w:right="0" w:firstLine="707" w:firstLineChars="220"/>
        <w:jc w:val="both"/>
        <w:textAlignment w:val="auto"/>
        <w:rPr>
          <w:rFonts w:ascii="仿宋" w:hAnsi="仿宋" w:eastAsia="仿宋" w:cs="仿宋"/>
          <w:sz w:val="32"/>
          <w:szCs w:val="32"/>
        </w:rPr>
      </w:pPr>
      <w:r>
        <w:rPr>
          <w:rFonts w:hint="eastAsia" w:ascii="仿宋" w:hAnsi="仿宋" w:eastAsia="仿宋" w:cs="仿宋"/>
          <w:b/>
          <w:bCs/>
          <w:sz w:val="32"/>
          <w:szCs w:val="32"/>
        </w:rPr>
        <w:t>发布形式</w:t>
      </w:r>
      <w:r>
        <w:rPr>
          <w:rFonts w:hint="eastAsia" w:ascii="仿宋" w:hAnsi="仿宋" w:eastAsia="仿宋" w:cs="仿宋"/>
          <w:sz w:val="32"/>
          <w:szCs w:val="32"/>
        </w:rPr>
        <w:t>：本报告采用本行官网发布</w:t>
      </w:r>
      <w:r>
        <w:rPr>
          <w:rFonts w:hint="eastAsia" w:ascii="仿宋" w:hAnsi="仿宋" w:eastAsia="仿宋" w:cs="仿宋"/>
          <w:sz w:val="32"/>
          <w:szCs w:val="32"/>
          <w:lang w:eastAsia="zh-CN"/>
        </w:rPr>
        <w:t>的形式</w:t>
      </w:r>
      <w:r>
        <w:rPr>
          <w:rFonts w:hint="eastAsia" w:ascii="仿宋" w:hAnsi="仿宋" w:eastAsia="仿宋" w:cs="仿宋"/>
          <w:sz w:val="32"/>
          <w:szCs w:val="32"/>
        </w:rPr>
        <w:t>。</w:t>
      </w:r>
    </w:p>
    <w:p>
      <w:pPr>
        <w:widowControl w:val="0"/>
        <w:wordWrap/>
        <w:adjustRightInd/>
        <w:snapToGrid/>
        <w:spacing w:line="590" w:lineRule="exact"/>
        <w:ind w:left="0" w:leftChars="0" w:right="0" w:firstLine="707" w:firstLineChars="220"/>
        <w:jc w:val="both"/>
        <w:textAlignment w:val="auto"/>
        <w:rPr>
          <w:rFonts w:hint="eastAsia" w:ascii="仿宋" w:hAnsi="仿宋" w:eastAsia="仿宋" w:cs="仿宋"/>
          <w:sz w:val="32"/>
          <w:szCs w:val="32"/>
        </w:rPr>
      </w:pPr>
      <w:r>
        <w:rPr>
          <w:rFonts w:hint="eastAsia" w:ascii="仿宋" w:hAnsi="仿宋" w:eastAsia="仿宋" w:cs="仿宋"/>
          <w:b/>
          <w:bCs/>
          <w:sz w:val="32"/>
          <w:szCs w:val="32"/>
        </w:rPr>
        <w:t>编制单位</w:t>
      </w:r>
      <w:r>
        <w:rPr>
          <w:rFonts w:hint="eastAsia" w:ascii="仿宋" w:hAnsi="仿宋" w:eastAsia="仿宋" w:cs="仿宋"/>
          <w:sz w:val="32"/>
          <w:szCs w:val="32"/>
        </w:rPr>
        <w:t>：绵阳市商业银行股份有限公司</w:t>
      </w:r>
    </w:p>
    <w:p>
      <w:pPr>
        <w:widowControl w:val="0"/>
        <w:wordWrap/>
        <w:adjustRightInd/>
        <w:snapToGrid/>
        <w:spacing w:line="590" w:lineRule="exact"/>
        <w:ind w:left="0" w:leftChars="0" w:right="0" w:firstLine="704" w:firstLineChars="220"/>
        <w:jc w:val="both"/>
        <w:textAlignment w:val="auto"/>
        <w:rPr>
          <w:rFonts w:hint="eastAsia" w:ascii="仿宋" w:hAnsi="仿宋" w:eastAsia="仿宋" w:cs="仿宋"/>
          <w:sz w:val="32"/>
          <w:szCs w:val="32"/>
        </w:rPr>
      </w:pPr>
    </w:p>
    <w:p>
      <w:pPr>
        <w:jc w:val="center"/>
        <w:rPr>
          <w:rFonts w:hint="eastAsia" w:ascii="新宋体" w:hAnsi="新宋体" w:eastAsia="新宋体" w:cs="新宋体"/>
          <w:b/>
          <w:bCs/>
          <w:sz w:val="36"/>
          <w:szCs w:val="36"/>
        </w:rPr>
      </w:pPr>
    </w:p>
    <w:p>
      <w:pPr>
        <w:jc w:val="center"/>
        <w:rPr>
          <w:rFonts w:ascii="新宋体" w:hAnsi="新宋体" w:eastAsia="新宋体" w:cs="新宋体"/>
          <w:b/>
          <w:bCs/>
          <w:sz w:val="44"/>
          <w:szCs w:val="44"/>
        </w:rPr>
      </w:pPr>
    </w:p>
    <w:p>
      <w:pPr>
        <w:jc w:val="center"/>
        <w:rPr>
          <w:rFonts w:hint="eastAsia" w:ascii="新宋体" w:hAnsi="新宋体" w:eastAsia="新宋体" w:cs="新宋体"/>
          <w:b/>
          <w:bCs/>
          <w:sz w:val="44"/>
          <w:szCs w:val="44"/>
        </w:rPr>
      </w:pPr>
    </w:p>
    <w:p>
      <w:pPr>
        <w:spacing w:before="0" w:beforeLines="0" w:after="0" w:afterLines="0" w:line="240" w:lineRule="auto"/>
        <w:ind w:left="0" w:leftChars="0" w:right="0" w:firstLine="0" w:firstLineChars="0"/>
        <w:jc w:val="center"/>
        <w:rPr>
          <w:rFonts w:ascii="宋体" w:hAnsi="宋体" w:eastAsia="宋体" w:cs="黑体"/>
          <w:kern w:val="2"/>
          <w:sz w:val="21"/>
          <w:szCs w:val="22"/>
          <w:lang w:val="en-US" w:eastAsia="zh-CN" w:bidi="ar-SA"/>
        </w:rPr>
      </w:pPr>
    </w:p>
    <w:p>
      <w:pPr>
        <w:spacing w:before="0" w:beforeLines="0" w:after="0" w:afterLines="0" w:line="240" w:lineRule="auto"/>
        <w:ind w:left="0" w:leftChars="0" w:right="0" w:firstLine="0" w:firstLineChars="0"/>
        <w:jc w:val="center"/>
        <w:rPr>
          <w:rFonts w:ascii="宋体" w:hAnsi="宋体" w:eastAsia="宋体" w:cs="黑体"/>
          <w:kern w:val="2"/>
          <w:sz w:val="21"/>
          <w:szCs w:val="22"/>
          <w:lang w:val="en-US" w:eastAsia="zh-CN" w:bidi="ar-SA"/>
        </w:rPr>
      </w:pPr>
    </w:p>
    <w:p>
      <w:pPr>
        <w:widowControl w:val="0"/>
        <w:wordWrap/>
        <w:adjustRightInd/>
        <w:snapToGrid/>
        <w:spacing w:line="590" w:lineRule="exact"/>
        <w:ind w:left="0" w:leftChars="0" w:right="0" w:firstLine="0" w:firstLineChars="0"/>
        <w:jc w:val="center"/>
        <w:textAlignment w:val="auto"/>
        <w:outlineLvl w:val="9"/>
        <w:rPr>
          <w:rFonts w:hint="eastAsia" w:ascii="新宋体" w:hAnsi="新宋体" w:eastAsia="新宋体" w:cs="新宋体"/>
          <w:sz w:val="44"/>
          <w:szCs w:val="44"/>
        </w:rPr>
      </w:pPr>
      <w:r>
        <w:rPr>
          <w:rFonts w:hint="eastAsia" w:ascii="新宋体" w:hAnsi="新宋体" w:eastAsia="新宋体" w:cs="新宋体"/>
          <w:b/>
          <w:bCs/>
          <w:sz w:val="44"/>
          <w:szCs w:val="44"/>
        </w:rPr>
        <w:t>目</w:t>
      </w:r>
      <w:r>
        <w:rPr>
          <w:rFonts w:hint="eastAsia" w:ascii="新宋体" w:hAnsi="新宋体" w:eastAsia="新宋体" w:cs="新宋体"/>
          <w:b/>
          <w:bCs/>
          <w:sz w:val="44"/>
          <w:szCs w:val="44"/>
          <w:lang w:val="en-US" w:eastAsia="zh-CN"/>
        </w:rPr>
        <w:t xml:space="preserve"> </w:t>
      </w:r>
      <w:r>
        <w:rPr>
          <w:rFonts w:hint="eastAsia" w:ascii="新宋体" w:hAnsi="新宋体" w:eastAsia="新宋体" w:cs="新宋体"/>
          <w:b/>
          <w:bCs/>
          <w:sz w:val="44"/>
          <w:szCs w:val="44"/>
        </w:rPr>
        <w:t>录</w:t>
      </w:r>
    </w:p>
    <w:p>
      <w:pPr>
        <w:widowControl w:val="0"/>
        <w:wordWrap/>
        <w:adjustRightInd/>
        <w:snapToGrid/>
        <w:spacing w:line="590" w:lineRule="exact"/>
        <w:ind w:left="0" w:leftChars="0" w:right="0" w:firstLine="0" w:firstLineChars="0"/>
        <w:jc w:val="both"/>
        <w:textAlignment w:val="auto"/>
        <w:outlineLvl w:val="9"/>
        <w:rPr>
          <w:rFonts w:hint="eastAsia" w:ascii="新宋体" w:hAnsi="新宋体" w:eastAsia="新宋体" w:cs="新宋体"/>
          <w:sz w:val="28"/>
          <w:szCs w:val="28"/>
        </w:rPr>
      </w:pPr>
    </w:p>
    <w:p>
      <w:pPr>
        <w:pStyle w:val="7"/>
        <w:tabs>
          <w:tab w:val="right" w:leader="dot" w:pos="8844"/>
        </w:tabs>
        <w:rPr>
          <w:rFonts w:hint="eastAsia" w:ascii="仿宋_GB2312" w:hAnsi="仿宋_GB2312" w:eastAsia="仿宋_GB2312" w:cs="仿宋_GB2312"/>
          <w:kern w:val="2"/>
          <w:sz w:val="32"/>
          <w:szCs w:val="32"/>
          <w:lang w:val="en-US" w:eastAsia="zh-CN" w:bidi="ar-SA"/>
        </w:rPr>
      </w:pPr>
      <w:r>
        <w:rPr>
          <w:rFonts w:hint="eastAsia" w:ascii="新宋体" w:hAnsi="新宋体" w:eastAsia="新宋体" w:cs="新宋体"/>
          <w:sz w:val="28"/>
          <w:szCs w:val="28"/>
        </w:rPr>
        <w:fldChar w:fldCharType="begin"/>
      </w:r>
      <w:r>
        <w:rPr>
          <w:rFonts w:hint="eastAsia" w:ascii="新宋体" w:hAnsi="新宋体" w:eastAsia="新宋体" w:cs="新宋体"/>
          <w:sz w:val="28"/>
          <w:szCs w:val="28"/>
        </w:rPr>
        <w:instrText xml:space="preserve">TOC \o "1-1" \h \u </w:instrText>
      </w:r>
      <w:r>
        <w:rPr>
          <w:rFonts w:hint="eastAsia" w:ascii="新宋体" w:hAnsi="新宋体" w:eastAsia="新宋体" w:cs="新宋体"/>
          <w:sz w:val="28"/>
          <w:szCs w:val="28"/>
        </w:rPr>
        <w:fldChar w:fldCharType="separate"/>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\l _Toc27232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一、年度概况</w:t>
      </w:r>
      <w:r>
        <w:rPr>
          <w:rFonts w:hint="eastAsia" w:ascii="仿宋_GB2312" w:hAnsi="仿宋_GB2312" w:eastAsia="仿宋_GB2312" w:cs="仿宋_GB2312"/>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PAGEREF _Toc27232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4</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fldChar w:fldCharType="end"/>
      </w:r>
    </w:p>
    <w:p>
      <w:pPr>
        <w:pStyle w:val="7"/>
        <w:tabs>
          <w:tab w:val="right" w:leader="dot" w:pos="8844"/>
        </w:tabs>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\l _Toc20523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二、环境相关治理结构</w:t>
      </w:r>
      <w:r>
        <w:rPr>
          <w:rFonts w:hint="eastAsia" w:ascii="仿宋_GB2312" w:hAnsi="仿宋_GB2312" w:eastAsia="仿宋_GB2312" w:cs="仿宋_GB2312"/>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PAGEREF _Toc20523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5</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fldChar w:fldCharType="end"/>
      </w:r>
    </w:p>
    <w:p>
      <w:pPr>
        <w:pStyle w:val="7"/>
        <w:tabs>
          <w:tab w:val="right" w:leader="dot" w:pos="8844"/>
        </w:tabs>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\l _Toc293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三、环境相关政策制度</w:t>
      </w:r>
      <w:r>
        <w:rPr>
          <w:rFonts w:hint="eastAsia" w:ascii="仿宋_GB2312" w:hAnsi="仿宋_GB2312" w:eastAsia="仿宋_GB2312" w:cs="仿宋_GB2312"/>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PAGEREF _Toc293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8</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fldChar w:fldCharType="end"/>
      </w:r>
    </w:p>
    <w:p>
      <w:pPr>
        <w:pStyle w:val="7"/>
        <w:tabs>
          <w:tab w:val="right" w:leader="dot" w:pos="8844"/>
        </w:tabs>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\l _Toc12114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四、环境相关产品和服务创新</w:t>
      </w:r>
      <w:r>
        <w:rPr>
          <w:rFonts w:hint="eastAsia" w:ascii="仿宋_GB2312" w:hAnsi="仿宋_GB2312" w:eastAsia="仿宋_GB2312" w:cs="仿宋_GB2312"/>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PAGEREF _Toc12114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10</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fldChar w:fldCharType="end"/>
      </w:r>
    </w:p>
    <w:p>
      <w:pPr>
        <w:pStyle w:val="7"/>
        <w:tabs>
          <w:tab w:val="right" w:leader="dot" w:pos="8844"/>
        </w:tabs>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\l _Toc26857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bCs w:val="0"/>
          <w:kern w:val="2"/>
          <w:sz w:val="32"/>
          <w:szCs w:val="32"/>
          <w:lang w:val="en-US" w:eastAsia="zh-CN" w:bidi="ar-SA"/>
        </w:rPr>
        <w:t>五、</w:t>
      </w:r>
      <w:r>
        <w:rPr>
          <w:rFonts w:hint="eastAsia" w:ascii="仿宋_GB2312" w:hAnsi="仿宋_GB2312" w:eastAsia="仿宋_GB2312" w:cs="仿宋_GB2312"/>
          <w:bCs w:val="0"/>
          <w:kern w:val="2"/>
          <w:sz w:val="32"/>
          <w:szCs w:val="32"/>
          <w:lang w:val="zh-TW" w:eastAsia="zh-TW" w:bidi="ar-SA"/>
        </w:rPr>
        <w:t>环境风险管理流程</w:t>
      </w:r>
      <w:r>
        <w:rPr>
          <w:rFonts w:hint="eastAsia" w:ascii="仿宋_GB2312" w:hAnsi="仿宋_GB2312" w:eastAsia="仿宋_GB2312" w:cs="仿宋_GB2312"/>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PAGEREF _Toc26857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11</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fldChar w:fldCharType="end"/>
      </w:r>
    </w:p>
    <w:p>
      <w:pPr>
        <w:pStyle w:val="7"/>
        <w:tabs>
          <w:tab w:val="right" w:leader="dot" w:pos="8844"/>
        </w:tabs>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\l _Toc6521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zh-TW" w:eastAsia="zh-CN" w:bidi="ar-SA"/>
        </w:rPr>
        <w:t>六、</w:t>
      </w:r>
      <w:r>
        <w:rPr>
          <w:rFonts w:hint="eastAsia" w:ascii="仿宋_GB2312" w:hAnsi="仿宋_GB2312" w:eastAsia="仿宋_GB2312" w:cs="仿宋_GB2312"/>
          <w:kern w:val="2"/>
          <w:sz w:val="32"/>
          <w:szCs w:val="32"/>
          <w:lang w:val="zh-TW" w:eastAsia="zh-TW" w:bidi="ar-SA"/>
        </w:rPr>
        <w:t>环境</w:t>
      </w:r>
      <w:r>
        <w:rPr>
          <w:rFonts w:hint="eastAsia" w:ascii="仿宋_GB2312" w:hAnsi="仿宋_GB2312" w:eastAsia="仿宋_GB2312" w:cs="仿宋_GB2312"/>
          <w:kern w:val="2"/>
          <w:sz w:val="32"/>
          <w:szCs w:val="32"/>
          <w:lang w:val="zh-TW" w:eastAsia="zh-CN" w:bidi="ar-SA"/>
        </w:rPr>
        <w:t>因素对金融机构</w:t>
      </w:r>
      <w:r>
        <w:rPr>
          <w:rFonts w:hint="eastAsia" w:ascii="仿宋_GB2312" w:hAnsi="仿宋_GB2312" w:eastAsia="仿宋_GB2312" w:cs="仿宋_GB2312"/>
          <w:kern w:val="2"/>
          <w:sz w:val="32"/>
          <w:szCs w:val="32"/>
          <w:lang w:val="zh-TW" w:eastAsia="zh-TW" w:bidi="ar-SA"/>
        </w:rPr>
        <w:t>的</w:t>
      </w:r>
      <w:r>
        <w:rPr>
          <w:rFonts w:hint="eastAsia" w:ascii="仿宋_GB2312" w:hAnsi="仿宋_GB2312" w:eastAsia="仿宋_GB2312" w:cs="仿宋_GB2312"/>
          <w:kern w:val="2"/>
          <w:sz w:val="32"/>
          <w:szCs w:val="32"/>
          <w:lang w:val="zh-TW" w:eastAsia="zh-CN" w:bidi="ar-SA"/>
        </w:rPr>
        <w:t>影响</w:t>
      </w:r>
      <w:r>
        <w:rPr>
          <w:rFonts w:hint="eastAsia" w:ascii="仿宋_GB2312" w:hAnsi="仿宋_GB2312" w:eastAsia="仿宋_GB2312" w:cs="仿宋_GB2312"/>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PAGEREF _Toc6521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14</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fldChar w:fldCharType="end"/>
      </w:r>
    </w:p>
    <w:p>
      <w:pPr>
        <w:pStyle w:val="7"/>
        <w:tabs>
          <w:tab w:val="right" w:leader="dot" w:pos="8844"/>
        </w:tabs>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\l _Toc12991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七、投融资活动的环境影响</w:t>
      </w:r>
      <w:r>
        <w:rPr>
          <w:rFonts w:hint="eastAsia" w:ascii="仿宋_GB2312" w:hAnsi="仿宋_GB2312" w:eastAsia="仿宋_GB2312" w:cs="仿宋_GB2312"/>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PAGEREF _Toc12991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16</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fldChar w:fldCharType="end"/>
      </w:r>
    </w:p>
    <w:p>
      <w:pPr>
        <w:pStyle w:val="7"/>
        <w:tabs>
          <w:tab w:val="right" w:leader="dot" w:pos="8844"/>
        </w:tabs>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\l _Toc23872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bCs w:val="0"/>
          <w:kern w:val="2"/>
          <w:sz w:val="32"/>
          <w:szCs w:val="32"/>
          <w:lang w:val="zh-TW" w:eastAsia="zh-CN" w:bidi="ar-SA"/>
        </w:rPr>
        <w:t>八、经营活动的环境影响</w:t>
      </w:r>
      <w:r>
        <w:rPr>
          <w:rFonts w:hint="eastAsia" w:ascii="仿宋_GB2312" w:hAnsi="仿宋_GB2312" w:eastAsia="仿宋_GB2312" w:cs="仿宋_GB2312"/>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PAGEREF _Toc23872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17</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fldChar w:fldCharType="end"/>
      </w:r>
    </w:p>
    <w:p>
      <w:pPr>
        <w:pStyle w:val="7"/>
        <w:tabs>
          <w:tab w:val="right" w:leader="dot" w:pos="8844"/>
        </w:tabs>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\l _Toc21810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bCs/>
          <w:kern w:val="2"/>
          <w:sz w:val="32"/>
          <w:szCs w:val="32"/>
          <w:lang w:val="en-US" w:eastAsia="zh-CN" w:bidi="ar-SA"/>
        </w:rPr>
        <w:t>九、数据梳理、校验及保护</w:t>
      </w:r>
      <w:r>
        <w:rPr>
          <w:rFonts w:hint="eastAsia" w:ascii="仿宋_GB2312" w:hAnsi="仿宋_GB2312" w:eastAsia="仿宋_GB2312" w:cs="仿宋_GB2312"/>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PAGEREF _Toc21810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21</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fldChar w:fldCharType="end"/>
      </w:r>
    </w:p>
    <w:p>
      <w:pPr>
        <w:pStyle w:val="7"/>
        <w:tabs>
          <w:tab w:val="right" w:leader="dot" w:pos="8844"/>
        </w:tabs>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\l _Toc14253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bCs w:val="0"/>
          <w:kern w:val="2"/>
          <w:sz w:val="32"/>
          <w:szCs w:val="32"/>
          <w:lang w:val="en-US" w:eastAsia="zh-CN" w:bidi="ar-SA"/>
        </w:rPr>
        <w:t>十、绿色金融创新及研究成果</w:t>
      </w:r>
      <w:r>
        <w:rPr>
          <w:rFonts w:hint="eastAsia" w:ascii="仿宋_GB2312" w:hAnsi="仿宋_GB2312" w:eastAsia="仿宋_GB2312" w:cs="仿宋_GB2312"/>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PAGEREF _Toc14253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23</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fldChar w:fldCharType="end"/>
      </w:r>
    </w:p>
    <w:p>
      <w:pPr>
        <w:pStyle w:val="7"/>
        <w:tabs>
          <w:tab w:val="right" w:leader="dot" w:pos="8844"/>
        </w:tabs>
        <w:rPr>
          <w:rFonts w:ascii="Calibri" w:hAnsi="Calibri" w:eastAsia="宋体" w:cs="黑体"/>
          <w:kern w:val="2"/>
          <w:szCs w:val="22"/>
          <w:lang w:val="en-US" w:eastAsia="zh-CN" w:bidi="ar-SA"/>
        </w:rPr>
      </w:pP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\l _Toc24372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十</w:t>
      </w:r>
      <w:r>
        <w:rPr>
          <w:rFonts w:hint="eastAsia" w:ascii="仿宋_GB2312" w:hAnsi="仿宋_GB2312" w:eastAsia="仿宋_GB2312" w:cs="仿宋_GB2312"/>
          <w:bCs w:val="0"/>
          <w:kern w:val="2"/>
          <w:sz w:val="32"/>
          <w:szCs w:val="32"/>
          <w:lang w:val="en-US" w:eastAsia="zh-CN" w:bidi="ar-SA"/>
        </w:rPr>
        <w:t>一</w:t>
      </w:r>
      <w:r>
        <w:rPr>
          <w:rFonts w:hint="eastAsia" w:ascii="仿宋_GB2312" w:hAnsi="仿宋_GB2312" w:eastAsia="仿宋_GB2312" w:cs="仿宋_GB2312"/>
          <w:bCs/>
          <w:kern w:val="2"/>
          <w:sz w:val="32"/>
          <w:szCs w:val="32"/>
          <w:lang w:val="en-US" w:eastAsia="zh-CN" w:bidi="ar-SA"/>
        </w:rPr>
        <w:t>、结束语</w:t>
      </w:r>
      <w:r>
        <w:rPr>
          <w:rFonts w:hint="eastAsia" w:ascii="仿宋_GB2312" w:hAnsi="仿宋_GB2312" w:eastAsia="仿宋_GB2312" w:cs="仿宋_GB2312"/>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PAGEREF _Toc24372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25</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fldChar w:fldCharType="end"/>
      </w:r>
    </w:p>
    <w:p>
      <w:pPr>
        <w:widowControl w:val="0"/>
        <w:wordWrap/>
        <w:adjustRightInd/>
        <w:snapToGrid/>
        <w:spacing w:line="590" w:lineRule="exact"/>
        <w:ind w:left="0" w:leftChars="0" w:right="0" w:firstLine="0" w:firstLineChars="0"/>
        <w:jc w:val="both"/>
        <w:textAlignment w:val="auto"/>
        <w:outlineLvl w:val="9"/>
      </w:pPr>
      <w:r>
        <w:rPr>
          <w:rFonts w:hint="eastAsia" w:ascii="新宋体" w:hAnsi="新宋体" w:eastAsia="新宋体" w:cs="新宋体"/>
          <w:kern w:val="2"/>
          <w:szCs w:val="28"/>
          <w:lang w:val="en-US" w:eastAsia="zh-CN" w:bidi="ar-SA"/>
        </w:rPr>
        <w:fldChar w:fldCharType="end"/>
      </w:r>
    </w:p>
    <w:p>
      <w:pPr>
        <w:rPr>
          <w:rFonts w:hint="eastAsia" w:ascii="黑体" w:hAnsi="黑体" w:eastAsia="黑体" w:cs="仿宋"/>
          <w:sz w:val="32"/>
          <w:szCs w:val="32"/>
          <w:lang w:val="zh-TW" w:eastAsia="zh-CN"/>
        </w:rPr>
      </w:pPr>
      <w:r>
        <w:rPr>
          <w:rFonts w:hint="eastAsia" w:ascii="黑体" w:hAnsi="黑体" w:eastAsia="黑体" w:cs="仿宋"/>
          <w:sz w:val="32"/>
          <w:szCs w:val="32"/>
          <w:lang w:val="zh-TW" w:eastAsia="zh-TW"/>
        </w:rPr>
        <w:br w:type="page"/>
      </w:r>
    </w:p>
    <w:p>
      <w:pPr>
        <w:widowControl w:val="0"/>
        <w:wordWrap/>
        <w:adjustRightInd/>
        <w:snapToGrid/>
        <w:spacing w:line="590" w:lineRule="exact"/>
        <w:ind w:left="0" w:leftChars="0" w:right="0" w:firstLine="640" w:firstLineChars="200"/>
        <w:jc w:val="both"/>
        <w:textAlignment w:val="auto"/>
        <w:outlineLvl w:val="0"/>
        <w:rPr>
          <w:rFonts w:ascii="黑体" w:hAnsi="黑体" w:eastAsia="黑体" w:cs="仿宋"/>
          <w:sz w:val="32"/>
          <w:szCs w:val="32"/>
        </w:rPr>
      </w:pPr>
      <w:bookmarkStart w:id="3" w:name="_Toc30611"/>
      <w:bookmarkStart w:id="4" w:name="_Toc27232"/>
      <w:r>
        <w:rPr>
          <w:rFonts w:hint="eastAsia" w:ascii="黑体" w:hAnsi="黑体" w:eastAsia="黑体" w:cs="仿宋"/>
          <w:sz w:val="32"/>
          <w:szCs w:val="32"/>
          <w:lang w:eastAsia="zh-CN"/>
        </w:rPr>
        <w:t>一</w:t>
      </w:r>
      <w:r>
        <w:rPr>
          <w:rFonts w:hint="eastAsia" w:ascii="黑体" w:hAnsi="黑体" w:eastAsia="黑体" w:cs="仿宋"/>
          <w:sz w:val="32"/>
          <w:szCs w:val="32"/>
        </w:rPr>
        <w:t>、年度概况</w:t>
      </w:r>
      <w:bookmarkEnd w:id="3"/>
      <w:bookmarkEnd w:id="4"/>
    </w:p>
    <w:p>
      <w:pPr>
        <w:widowControl w:val="0"/>
        <w:wordWrap/>
        <w:adjustRightInd/>
        <w:snapToGrid/>
        <w:spacing w:line="590" w:lineRule="exact"/>
        <w:ind w:right="0" w:firstLine="643" w:firstLineChars="200"/>
        <w:jc w:val="both"/>
        <w:textAlignment w:val="auto"/>
        <w:rPr>
          <w:rFonts w:ascii="楷体" w:hAnsi="楷体" w:eastAsia="楷体" w:cs="方正清仿宋 简 Bold"/>
          <w:b/>
          <w:bCs/>
          <w:color w:val="000000"/>
          <w:sz w:val="32"/>
          <w:szCs w:val="32"/>
        </w:rPr>
      </w:pPr>
      <w:r>
        <w:rPr>
          <w:rFonts w:hint="eastAsia" w:ascii="楷体" w:hAnsi="楷体" w:eastAsia="楷体" w:cs="方正清仿宋 简 Bold"/>
          <w:b/>
          <w:bCs/>
          <w:color w:val="000000"/>
          <w:sz w:val="32"/>
          <w:szCs w:val="32"/>
        </w:rPr>
        <w:t>（一）</w:t>
      </w:r>
      <w:r>
        <w:rPr>
          <w:rFonts w:hint="eastAsia" w:ascii="楷体" w:hAnsi="楷体" w:eastAsia="楷体" w:cs="方正清仿宋 简 Bold"/>
          <w:b/>
          <w:bCs/>
          <w:color w:val="000000"/>
          <w:sz w:val="32"/>
          <w:szCs w:val="32"/>
          <w:lang w:val="en-US" w:eastAsia="zh-CN"/>
        </w:rPr>
        <w:t>总体概况</w:t>
      </w:r>
    </w:p>
    <w:p>
      <w:pPr>
        <w:widowControl w:val="0"/>
        <w:wordWrap/>
        <w:adjustRightInd/>
        <w:snapToGrid/>
        <w:spacing w:line="590" w:lineRule="exact"/>
        <w:ind w:left="0" w:leftChars="0" w:right="0" w:firstLine="640" w:firstLineChars="200"/>
        <w:jc w:val="both"/>
        <w:textAlignment w:val="auto"/>
        <w:outlineLvl w:val="9"/>
        <w:rPr>
          <w:rFonts w:hint="eastAsia" w:ascii="仿宋" w:hAnsi="仿宋" w:eastAsia="仿宋" w:cs="仿宋"/>
          <w:color w:val="FF0000"/>
          <w:sz w:val="32"/>
          <w:szCs w:val="32"/>
          <w:lang w:val="en-US" w:eastAsia="zh-CN"/>
        </w:rPr>
      </w:pPr>
      <w:r>
        <w:rPr>
          <w:rFonts w:hint="eastAsia" w:ascii="仿宋" w:hAnsi="仿宋" w:eastAsia="仿宋" w:cs="仿宋"/>
          <w:color w:val="000000"/>
          <w:sz w:val="32"/>
          <w:szCs w:val="32"/>
          <w:shd w:val="clear" w:color="auto" w:fill="FFFFFF"/>
          <w:lang w:val="en-US" w:eastAsia="zh-CN"/>
        </w:rPr>
        <w:t>绵阳市商业银行作为一家城市商业银行，以建设区域最佳银行为目标，坚持“</w:t>
      </w:r>
      <w:r>
        <w:rPr>
          <w:rFonts w:hint="eastAsia" w:ascii="仿宋" w:hAnsi="仿宋" w:eastAsia="仿宋" w:cs="仿宋"/>
          <w:bCs/>
          <w:color w:val="000000"/>
          <w:kern w:val="0"/>
          <w:sz w:val="32"/>
          <w:szCs w:val="32"/>
          <w:lang w:val="en-US" w:eastAsia="zh-CN"/>
        </w:rPr>
        <w:t>创新、协调、绿色、开放、共享”的新发展理念，</w:t>
      </w:r>
      <w:r>
        <w:rPr>
          <w:rFonts w:hint="eastAsia" w:ascii="仿宋" w:hAnsi="仿宋" w:eastAsia="仿宋" w:cs="仿宋"/>
          <w:color w:val="000000"/>
          <w:sz w:val="32"/>
          <w:szCs w:val="32"/>
        </w:rPr>
        <w:t>坚定“中小企业伙伴银行、城乡居民贴心银行、社区服务特色银行、地方经济助力银行”的市场定位，</w:t>
      </w:r>
      <w:r>
        <w:rPr>
          <w:rFonts w:hint="eastAsia" w:ascii="仿宋" w:hAnsi="仿宋" w:eastAsia="仿宋" w:cs="仿宋"/>
          <w:bCs/>
          <w:color w:val="000000"/>
          <w:sz w:val="32"/>
          <w:szCs w:val="32"/>
        </w:rPr>
        <w:t>在绿色金融、普惠金融、金融支持实体经济</w:t>
      </w:r>
      <w:r>
        <w:rPr>
          <w:rFonts w:hint="eastAsia" w:ascii="仿宋" w:hAnsi="仿宋" w:eastAsia="仿宋" w:cs="仿宋"/>
          <w:bCs/>
          <w:color w:val="000000"/>
          <w:sz w:val="32"/>
          <w:szCs w:val="32"/>
          <w:lang w:eastAsia="zh-CN"/>
        </w:rPr>
        <w:t>等</w:t>
      </w:r>
      <w:r>
        <w:rPr>
          <w:rFonts w:hint="eastAsia" w:ascii="仿宋" w:hAnsi="仿宋" w:eastAsia="仿宋" w:cs="仿宋"/>
          <w:bCs/>
          <w:color w:val="000000"/>
          <w:sz w:val="32"/>
          <w:szCs w:val="32"/>
        </w:rPr>
        <w:t>方面</w:t>
      </w:r>
      <w:r>
        <w:rPr>
          <w:rFonts w:hint="eastAsia" w:ascii="仿宋" w:hAnsi="仿宋" w:eastAsia="仿宋" w:cs="仿宋"/>
          <w:bCs/>
          <w:color w:val="000000"/>
          <w:sz w:val="32"/>
          <w:szCs w:val="32"/>
          <w:lang w:eastAsia="zh-CN"/>
        </w:rPr>
        <w:t>不懈</w:t>
      </w:r>
      <w:r>
        <w:rPr>
          <w:rFonts w:hint="eastAsia" w:ascii="仿宋" w:hAnsi="仿宋" w:eastAsia="仿宋" w:cs="仿宋"/>
          <w:bCs/>
          <w:color w:val="000000"/>
          <w:sz w:val="32"/>
          <w:szCs w:val="32"/>
        </w:rPr>
        <w:t>努力</w:t>
      </w:r>
      <w:r>
        <w:rPr>
          <w:rFonts w:hint="eastAsia" w:ascii="仿宋" w:hAnsi="仿宋" w:eastAsia="仿宋" w:cs="仿宋"/>
          <w:bCs/>
          <w:color w:val="000000"/>
          <w:sz w:val="32"/>
          <w:szCs w:val="32"/>
          <w:lang w:eastAsia="zh-CN"/>
        </w:rPr>
        <w:t>，目前已</w:t>
      </w:r>
      <w:r>
        <w:rPr>
          <w:rFonts w:hint="eastAsia" w:ascii="仿宋" w:hAnsi="仿宋" w:eastAsia="仿宋" w:cs="仿宋"/>
          <w:color w:val="000000"/>
          <w:sz w:val="32"/>
          <w:szCs w:val="32"/>
          <w:lang w:val="en-US" w:eastAsia="zh-CN"/>
        </w:rPr>
        <w:t>形成“跨区发展、特色经营、集合服务、合规稳健”的发展格局</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营业机构覆盖绵阳、广元、遂宁、南充、资阳、成都等地</w:t>
      </w:r>
      <w:r>
        <w:rPr>
          <w:rFonts w:hint="eastAsia" w:ascii="仿宋" w:hAnsi="仿宋" w:eastAsia="仿宋" w:cs="仿宋"/>
          <w:color w:val="000000"/>
          <w:sz w:val="32"/>
          <w:szCs w:val="32"/>
          <w:lang w:val="en-US" w:eastAsia="zh-CN"/>
        </w:rPr>
        <w:t>。</w:t>
      </w:r>
      <w:r>
        <w:rPr>
          <w:rFonts w:hint="eastAsia" w:ascii="仿宋" w:hAnsi="仿宋" w:eastAsia="仿宋" w:cs="仿宋"/>
          <w:color w:val="auto"/>
          <w:sz w:val="32"/>
          <w:szCs w:val="32"/>
          <w:lang w:val="en-US" w:eastAsia="zh-CN"/>
        </w:rPr>
        <w:t>未来，我行将深入贯彻落实新发展理念，遵循赤道原则，实现业务可持续与服务绿色发展双重目标，打造生态绵商、绿色绵商。</w:t>
      </w:r>
    </w:p>
    <w:p>
      <w:pPr>
        <w:wordWrap/>
        <w:adjustRightInd/>
        <w:snapToGrid/>
        <w:spacing w:line="590" w:lineRule="exact"/>
        <w:ind w:left="0" w:leftChars="0" w:right="0"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（二）绿色</w:t>
      </w:r>
      <w:r>
        <w:rPr>
          <w:rFonts w:hint="eastAsia" w:ascii="楷体" w:hAnsi="楷体" w:eastAsia="楷体" w:cs="楷体"/>
          <w:b/>
          <w:bCs/>
          <w:sz w:val="32"/>
          <w:szCs w:val="32"/>
          <w:lang w:eastAsia="zh-CN"/>
        </w:rPr>
        <w:t>金融</w:t>
      </w:r>
      <w:r>
        <w:rPr>
          <w:rFonts w:hint="eastAsia" w:ascii="楷体" w:hAnsi="楷体" w:eastAsia="楷体" w:cs="楷体"/>
          <w:b/>
          <w:bCs/>
          <w:sz w:val="32"/>
          <w:szCs w:val="32"/>
        </w:rPr>
        <w:t>发展</w:t>
      </w:r>
      <w:r>
        <w:rPr>
          <w:rFonts w:hint="eastAsia" w:ascii="楷体" w:hAnsi="楷体" w:eastAsia="楷体" w:cs="楷体"/>
          <w:b/>
          <w:bCs/>
          <w:sz w:val="32"/>
          <w:szCs w:val="32"/>
          <w:lang w:eastAsia="zh-CN"/>
        </w:rPr>
        <w:t>成效</w:t>
      </w:r>
    </w:p>
    <w:p>
      <w:pPr>
        <w:wordWrap/>
        <w:adjustRightInd/>
        <w:snapToGrid/>
        <w:spacing w:line="590" w:lineRule="exact"/>
        <w:ind w:left="0" w:leftChars="0" w:right="0" w:firstLine="640" w:firstLineChars="200"/>
        <w:jc w:val="both"/>
        <w:textAlignment w:val="auto"/>
        <w:rPr>
          <w:rFonts w:hint="eastAsia" w:ascii="仿宋" w:hAnsi="仿宋" w:eastAsia="仿宋" w:cs="方正清仿宋 简 Bold"/>
          <w:color w:val="000000"/>
          <w:sz w:val="32"/>
          <w:szCs w:val="32"/>
          <w:lang w:eastAsia="zh-CN"/>
        </w:rPr>
      </w:pPr>
      <w:r>
        <w:rPr>
          <w:rFonts w:hint="eastAsia" w:ascii="仿宋" w:hAnsi="仿宋" w:eastAsia="仿宋" w:cs="方正清仿宋 简 Bold"/>
          <w:color w:val="000000"/>
          <w:sz w:val="32"/>
          <w:szCs w:val="32"/>
        </w:rPr>
        <w:t>我行把绿色金融作为</w:t>
      </w:r>
      <w:r>
        <w:rPr>
          <w:rFonts w:hint="eastAsia" w:ascii="仿宋" w:hAnsi="仿宋" w:eastAsia="仿宋" w:cs="方正清仿宋 简 Bold"/>
          <w:color w:val="000000"/>
          <w:sz w:val="32"/>
          <w:szCs w:val="32"/>
          <w:lang w:eastAsia="zh-CN"/>
        </w:rPr>
        <w:t>当前及</w:t>
      </w:r>
      <w:r>
        <w:rPr>
          <w:rFonts w:hint="eastAsia" w:ascii="仿宋" w:hAnsi="仿宋" w:eastAsia="仿宋" w:cs="方正清仿宋 简 Bold"/>
          <w:color w:val="000000"/>
          <w:sz w:val="32"/>
          <w:szCs w:val="32"/>
        </w:rPr>
        <w:t>今后较长一个时期的重要</w:t>
      </w:r>
      <w:r>
        <w:rPr>
          <w:rFonts w:hint="eastAsia" w:ascii="仿宋" w:hAnsi="仿宋" w:eastAsia="仿宋" w:cs="方正清仿宋 简 Bold"/>
          <w:color w:val="000000"/>
          <w:sz w:val="32"/>
          <w:szCs w:val="32"/>
          <w:lang w:eastAsia="zh-CN"/>
        </w:rPr>
        <w:t>发展</w:t>
      </w:r>
      <w:r>
        <w:rPr>
          <w:rFonts w:hint="eastAsia" w:ascii="仿宋" w:hAnsi="仿宋" w:eastAsia="仿宋" w:cs="方正清仿宋 简 Bold"/>
          <w:color w:val="000000"/>
          <w:sz w:val="32"/>
          <w:szCs w:val="32"/>
        </w:rPr>
        <w:t>战略，加强工作</w:t>
      </w:r>
      <w:r>
        <w:rPr>
          <w:rFonts w:ascii="仿宋" w:hAnsi="仿宋" w:eastAsia="仿宋" w:cs="方正清仿宋 简 Bold"/>
          <w:color w:val="000000"/>
          <w:sz w:val="32"/>
          <w:szCs w:val="32"/>
        </w:rPr>
        <w:t>研究</w:t>
      </w:r>
      <w:r>
        <w:rPr>
          <w:rFonts w:hint="eastAsia" w:ascii="仿宋" w:hAnsi="仿宋" w:eastAsia="仿宋" w:cs="方正清仿宋 简 Bold"/>
          <w:color w:val="000000"/>
          <w:sz w:val="32"/>
          <w:szCs w:val="32"/>
        </w:rPr>
        <w:t>，完善</w:t>
      </w:r>
      <w:r>
        <w:rPr>
          <w:rFonts w:hint="eastAsia" w:ascii="仿宋" w:hAnsi="仿宋" w:eastAsia="仿宋" w:cs="方正清仿宋 简 Bold"/>
          <w:color w:val="000000"/>
          <w:sz w:val="32"/>
          <w:szCs w:val="32"/>
          <w:lang w:eastAsia="zh-CN"/>
        </w:rPr>
        <w:t>体制机制</w:t>
      </w:r>
      <w:r>
        <w:rPr>
          <w:rFonts w:hint="eastAsia" w:ascii="仿宋" w:hAnsi="仿宋" w:eastAsia="仿宋" w:cs="方正清仿宋 简 Bold"/>
          <w:color w:val="000000"/>
          <w:sz w:val="32"/>
          <w:szCs w:val="32"/>
        </w:rPr>
        <w:t>，壮大客户群体，创新服务产品，全面培育绿色文化，</w:t>
      </w:r>
      <w:r>
        <w:rPr>
          <w:rFonts w:hint="eastAsia" w:ascii="仿宋" w:hAnsi="仿宋" w:eastAsia="仿宋" w:cs="方正清仿宋 简 Bold"/>
          <w:color w:val="000000"/>
          <w:sz w:val="32"/>
          <w:szCs w:val="32"/>
          <w:lang w:eastAsia="zh-CN"/>
        </w:rPr>
        <w:t>积极</w:t>
      </w:r>
      <w:r>
        <w:rPr>
          <w:rFonts w:hint="eastAsia" w:ascii="仿宋" w:hAnsi="仿宋" w:eastAsia="仿宋" w:cs="方正清仿宋 简 Bold"/>
          <w:color w:val="000000"/>
          <w:sz w:val="32"/>
          <w:szCs w:val="32"/>
        </w:rPr>
        <w:t>探索绿色金融发展的有效途径和方式。</w:t>
      </w:r>
      <w:r>
        <w:rPr>
          <w:rFonts w:hint="eastAsia" w:ascii="仿宋" w:hAnsi="仿宋" w:eastAsia="仿宋" w:cs="方正清仿宋 简 Bold"/>
          <w:color w:val="000000"/>
          <w:sz w:val="32"/>
          <w:szCs w:val="32"/>
          <w:lang w:eastAsia="zh-CN"/>
        </w:rPr>
        <w:t>截至</w:t>
      </w:r>
      <w:r>
        <w:rPr>
          <w:rFonts w:hint="eastAsia" w:ascii="仿宋" w:hAnsi="仿宋" w:eastAsia="仿宋" w:cs="方正清仿宋 简 Bold"/>
          <w:color w:val="000000"/>
          <w:sz w:val="32"/>
          <w:szCs w:val="32"/>
        </w:rPr>
        <w:t>2020年末，</w:t>
      </w:r>
      <w:r>
        <w:rPr>
          <w:rFonts w:hint="eastAsia" w:ascii="仿宋" w:hAnsi="仿宋" w:eastAsia="仿宋" w:cs="方正清仿宋 简 Bold"/>
          <w:color w:val="000000"/>
          <w:sz w:val="32"/>
          <w:szCs w:val="32"/>
          <w:lang w:eastAsia="zh-CN"/>
        </w:rPr>
        <w:t>我行对涉及绿色产业领域的</w:t>
      </w:r>
      <w:r>
        <w:rPr>
          <w:rFonts w:hint="eastAsia" w:ascii="仿宋" w:hAnsi="仿宋" w:eastAsia="仿宋" w:cs="方正清仿宋 简 Bold"/>
          <w:color w:val="000000"/>
          <w:sz w:val="32"/>
          <w:szCs w:val="32"/>
          <w:lang w:val="en-US" w:eastAsia="zh-CN"/>
        </w:rPr>
        <w:t>11户</w:t>
      </w:r>
      <w:r>
        <w:rPr>
          <w:rFonts w:hint="eastAsia" w:ascii="仿宋" w:hAnsi="仿宋" w:eastAsia="仿宋" w:cs="方正清仿宋 简 Bold"/>
          <w:color w:val="000000"/>
          <w:sz w:val="32"/>
          <w:szCs w:val="32"/>
          <w:lang w:eastAsia="zh-CN"/>
        </w:rPr>
        <w:t>企业共提供授信</w:t>
      </w:r>
      <w:r>
        <w:rPr>
          <w:rFonts w:hint="eastAsia" w:ascii="仿宋" w:hAnsi="仿宋" w:eastAsia="仿宋" w:cs="方正清仿宋 简 Bold"/>
          <w:color w:val="000000"/>
          <w:sz w:val="32"/>
          <w:szCs w:val="32"/>
          <w:lang w:val="en-US" w:eastAsia="zh-CN"/>
        </w:rPr>
        <w:t>7.4</w:t>
      </w:r>
      <w:r>
        <w:rPr>
          <w:rFonts w:hint="eastAsia" w:ascii="仿宋" w:hAnsi="仿宋" w:eastAsia="仿宋" w:cs="方正清仿宋 简 Bold"/>
          <w:color w:val="000000"/>
          <w:sz w:val="32"/>
          <w:szCs w:val="32"/>
          <w:lang w:eastAsia="zh-CN"/>
        </w:rPr>
        <w:t>亿元，发放</w:t>
      </w:r>
      <w:r>
        <w:rPr>
          <w:rFonts w:hint="eastAsia" w:ascii="仿宋" w:hAnsi="仿宋" w:eastAsia="仿宋" w:cs="方正清仿宋 简 Bold"/>
          <w:color w:val="000000"/>
          <w:sz w:val="32"/>
          <w:szCs w:val="32"/>
        </w:rPr>
        <w:t>绿色贷款</w:t>
      </w:r>
      <w:r>
        <w:rPr>
          <w:rFonts w:hint="eastAsia" w:ascii="仿宋" w:hAnsi="仿宋" w:eastAsia="仿宋" w:cs="方正清仿宋 简 Bold"/>
          <w:color w:val="000000"/>
          <w:sz w:val="32"/>
          <w:szCs w:val="32"/>
          <w:lang w:val="en-US" w:eastAsia="zh-CN"/>
        </w:rPr>
        <w:t>25笔、绿色信贷</w:t>
      </w:r>
      <w:r>
        <w:rPr>
          <w:rFonts w:hint="eastAsia" w:ascii="仿宋" w:hAnsi="仿宋" w:eastAsia="仿宋" w:cs="方正清仿宋 简 Bold"/>
          <w:color w:val="000000"/>
          <w:sz w:val="32"/>
          <w:szCs w:val="32"/>
        </w:rPr>
        <w:t>余额2.833亿元，</w:t>
      </w:r>
      <w:r>
        <w:rPr>
          <w:rFonts w:hint="eastAsia" w:ascii="仿宋" w:hAnsi="仿宋" w:eastAsia="仿宋" w:cs="方正清仿宋 简 Bold"/>
          <w:color w:val="000000"/>
          <w:sz w:val="32"/>
          <w:szCs w:val="32"/>
          <w:lang w:eastAsia="zh-CN"/>
        </w:rPr>
        <w:t>涵盖高效节能装备制造、资源循环利用、清洁能源、生态农业、基础设施绿色升级</w:t>
      </w:r>
      <w:r>
        <w:rPr>
          <w:rFonts w:hint="eastAsia" w:ascii="仿宋" w:hAnsi="仿宋" w:eastAsia="仿宋" w:cs="方正清仿宋 简 Bold"/>
          <w:color w:val="000000"/>
          <w:sz w:val="32"/>
          <w:szCs w:val="32"/>
          <w:lang w:val="en-US" w:eastAsia="zh-CN"/>
        </w:rPr>
        <w:t>等产业</w:t>
      </w:r>
      <w:r>
        <w:rPr>
          <w:rFonts w:hint="eastAsia" w:ascii="仿宋" w:hAnsi="仿宋" w:eastAsia="仿宋" w:cs="方正清仿宋 简 Bold"/>
          <w:color w:val="000000"/>
          <w:sz w:val="32"/>
          <w:szCs w:val="32"/>
          <w:lang w:eastAsia="zh-CN"/>
        </w:rPr>
        <w:t>，为地方经济</w:t>
      </w:r>
      <w:r>
        <w:rPr>
          <w:rFonts w:hint="eastAsia" w:ascii="仿宋" w:hAnsi="仿宋" w:eastAsia="仿宋" w:cs="仿宋"/>
          <w:color w:val="auto"/>
          <w:sz w:val="32"/>
          <w:szCs w:val="32"/>
          <w:lang w:val="zh-TW" w:eastAsia="zh-TW"/>
        </w:rPr>
        <w:t>绿色、低碳、</w:t>
      </w:r>
      <w:r>
        <w:rPr>
          <w:rFonts w:hint="eastAsia" w:ascii="仿宋" w:hAnsi="仿宋" w:eastAsia="仿宋" w:cs="仿宋"/>
          <w:color w:val="auto"/>
          <w:sz w:val="32"/>
          <w:szCs w:val="32"/>
          <w:lang w:val="zh-TW" w:eastAsia="zh-CN"/>
        </w:rPr>
        <w:t>可持续发展提供了</w:t>
      </w:r>
      <w:r>
        <w:rPr>
          <w:rFonts w:hint="eastAsia" w:ascii="仿宋" w:hAnsi="仿宋" w:eastAsia="仿宋" w:cs="方正清仿宋 简 Bold"/>
          <w:color w:val="000000"/>
          <w:sz w:val="32"/>
          <w:szCs w:val="32"/>
          <w:lang w:eastAsia="zh-CN"/>
        </w:rPr>
        <w:t>有效支持</w:t>
      </w:r>
      <w:r>
        <w:rPr>
          <w:rFonts w:hint="eastAsia" w:ascii="仿宋" w:hAnsi="仿宋" w:eastAsia="仿宋" w:cs="方正清仿宋 简 Bold"/>
          <w:color w:val="000000"/>
          <w:sz w:val="32"/>
          <w:szCs w:val="32"/>
        </w:rPr>
        <w:t>。</w:t>
      </w:r>
    </w:p>
    <w:p>
      <w:pPr>
        <w:wordWrap/>
        <w:adjustRightInd/>
        <w:snapToGrid/>
        <w:spacing w:line="590" w:lineRule="exact"/>
        <w:ind w:left="0" w:leftChars="0" w:right="0" w:firstLine="640" w:firstLineChars="200"/>
        <w:jc w:val="both"/>
        <w:textAlignment w:val="auto"/>
        <w:rPr>
          <w:rFonts w:hint="eastAsia" w:ascii="仿宋" w:hAnsi="仿宋" w:eastAsia="仿宋" w:cs="方正清仿宋 简 Bold"/>
          <w:color w:val="000000"/>
          <w:sz w:val="32"/>
          <w:szCs w:val="32"/>
          <w:lang w:eastAsia="zh-CN"/>
        </w:rPr>
      </w:pPr>
      <w:r>
        <w:rPr>
          <w:rFonts w:hint="eastAsia" w:ascii="仿宋" w:hAnsi="仿宋" w:eastAsia="仿宋" w:cs="仿宋"/>
          <w:color w:val="auto"/>
          <w:sz w:val="32"/>
          <w:szCs w:val="32"/>
          <w:lang w:val="en-US" w:eastAsia="zh-CN"/>
        </w:rPr>
        <w:t>同时，在主管部门的精心指导下，经赤道原则协会审定，我行自2020年7月20日起，正式采纳赤道原则，遵守赤道原</w:t>
      </w:r>
      <w:bookmarkStart w:id="48" w:name="_GoBack"/>
      <w:bookmarkEnd w:id="48"/>
      <w:r>
        <w:rPr>
          <w:rFonts w:hint="eastAsia" w:ascii="仿宋" w:hAnsi="仿宋" w:eastAsia="仿宋" w:cs="仿宋"/>
          <w:color w:val="auto"/>
          <w:sz w:val="32"/>
          <w:szCs w:val="32"/>
          <w:lang w:val="en-US" w:eastAsia="zh-CN"/>
        </w:rPr>
        <w:t>则各项要求，建立健全环境与社会风险管理制度及相应操作流程，成为继</w:t>
      </w:r>
      <w:r>
        <w:rPr>
          <w:rFonts w:hint="eastAsia" w:ascii="仿宋" w:hAnsi="仿宋" w:eastAsia="仿宋" w:cs="仿宋"/>
          <w:color w:val="auto"/>
          <w:sz w:val="32"/>
          <w:szCs w:val="32"/>
          <w:lang w:val="en-US" w:eastAsia="zh-CN"/>
        </w:rPr>
        <w:fldChar w:fldCharType="begin"/>
      </w:r>
      <w:r>
        <w:rPr>
          <w:rFonts w:hint="eastAsia" w:ascii="仿宋" w:hAnsi="仿宋" w:eastAsia="仿宋" w:cs="仿宋"/>
          <w:color w:val="auto"/>
          <w:sz w:val="32"/>
          <w:szCs w:val="32"/>
          <w:lang w:val="en-US" w:eastAsia="zh-CN"/>
        </w:rPr>
        <w:instrText xml:space="preserve"> HYPERLINK "https://baike.baidu.com/item/%E5%85%B4%E4%B8%9A%E9%93%B6%E8%A1%8C" \t "https://baike.baidu.com/item/%E8%B5%A4%E9%81%93%E9%93%B6%E8%A1%8C/_blank" </w:instrText>
      </w:r>
      <w:r>
        <w:rPr>
          <w:rFonts w:hint="eastAsia" w:ascii="仿宋" w:hAnsi="仿宋" w:eastAsia="仿宋" w:cs="仿宋"/>
          <w:color w:val="auto"/>
          <w:sz w:val="32"/>
          <w:szCs w:val="32"/>
          <w:lang w:val="en-US" w:eastAsia="zh-CN"/>
        </w:rPr>
        <w:fldChar w:fldCharType="separate"/>
      </w:r>
      <w:r>
        <w:rPr>
          <w:rFonts w:hint="eastAsia" w:ascii="仿宋" w:hAnsi="仿宋" w:eastAsia="仿宋" w:cs="仿宋"/>
          <w:color w:val="auto"/>
          <w:sz w:val="32"/>
          <w:szCs w:val="32"/>
          <w:lang w:val="en-US" w:eastAsia="zh-CN"/>
        </w:rPr>
        <w:t>兴业银行</w:t>
      </w:r>
      <w:r>
        <w:rPr>
          <w:rFonts w:hint="eastAsia" w:ascii="仿宋" w:hAnsi="仿宋" w:eastAsia="仿宋" w:cs="仿宋"/>
          <w:color w:val="auto"/>
          <w:sz w:val="32"/>
          <w:szCs w:val="32"/>
          <w:lang w:val="en-US" w:eastAsia="zh-CN"/>
        </w:rPr>
        <w:fldChar w:fldCharType="end"/>
      </w:r>
      <w:r>
        <w:rPr>
          <w:rFonts w:hint="eastAsia" w:ascii="仿宋" w:hAnsi="仿宋" w:eastAsia="仿宋" w:cs="仿宋"/>
          <w:color w:val="auto"/>
          <w:sz w:val="32"/>
          <w:szCs w:val="32"/>
          <w:lang w:val="en-US" w:eastAsia="zh-CN"/>
        </w:rPr>
        <w:t>、江苏银行、湖州银行、重庆农商行后，我国大陆第五家、西部地区第二家、四川第一家“赤道银行”。</w:t>
      </w:r>
      <w:r>
        <w:rPr>
          <w:rFonts w:hint="eastAsia" w:ascii="仿宋" w:hAnsi="仿宋" w:eastAsia="仿宋" w:cs="方正清仿宋 简 Bold"/>
          <w:color w:val="000000"/>
          <w:sz w:val="32"/>
          <w:szCs w:val="32"/>
        </w:rPr>
        <w:t>2021年</w:t>
      </w:r>
      <w:r>
        <w:rPr>
          <w:rFonts w:hint="eastAsia" w:ascii="仿宋" w:hAnsi="仿宋" w:eastAsia="仿宋" w:cs="方正清仿宋 简 Bold"/>
          <w:color w:val="000000"/>
          <w:sz w:val="32"/>
          <w:szCs w:val="32"/>
          <w:lang w:eastAsia="zh-CN"/>
        </w:rPr>
        <w:t>，我行将</w:t>
      </w:r>
      <w:r>
        <w:rPr>
          <w:rFonts w:hint="eastAsia" w:ascii="仿宋" w:hAnsi="仿宋" w:eastAsia="仿宋" w:cs="方正清仿宋 简 Bold"/>
          <w:color w:val="000000"/>
          <w:sz w:val="32"/>
          <w:szCs w:val="32"/>
        </w:rPr>
        <w:t>持续推进绿色</w:t>
      </w:r>
      <w:r>
        <w:rPr>
          <w:rFonts w:hint="eastAsia" w:ascii="仿宋" w:hAnsi="仿宋" w:eastAsia="仿宋" w:cs="方正清仿宋 简 Bold"/>
          <w:color w:val="000000"/>
          <w:sz w:val="32"/>
          <w:szCs w:val="32"/>
          <w:lang w:eastAsia="zh-CN"/>
        </w:rPr>
        <w:t>金融</w:t>
      </w:r>
      <w:r>
        <w:rPr>
          <w:rFonts w:hint="eastAsia" w:ascii="仿宋" w:hAnsi="仿宋" w:eastAsia="仿宋" w:cs="方正清仿宋 简 Bold"/>
          <w:color w:val="000000"/>
          <w:sz w:val="32"/>
          <w:szCs w:val="32"/>
        </w:rPr>
        <w:t>发展，</w:t>
      </w:r>
      <w:r>
        <w:rPr>
          <w:rFonts w:hint="eastAsia" w:ascii="仿宋" w:hAnsi="仿宋" w:eastAsia="仿宋" w:cs="仿宋"/>
          <w:color w:val="auto"/>
          <w:sz w:val="32"/>
          <w:szCs w:val="32"/>
          <w:lang w:val="en-US" w:eastAsia="zh-CN"/>
        </w:rPr>
        <w:t>力争</w:t>
      </w:r>
      <w:r>
        <w:rPr>
          <w:rFonts w:hint="eastAsia" w:ascii="仿宋" w:hAnsi="仿宋" w:eastAsia="仿宋" w:cs="方正清仿宋 简 Bold"/>
          <w:color w:val="000000"/>
          <w:sz w:val="32"/>
          <w:szCs w:val="32"/>
        </w:rPr>
        <w:t>绿色信贷</w:t>
      </w:r>
      <w:r>
        <w:rPr>
          <w:rFonts w:hint="eastAsia" w:ascii="仿宋" w:hAnsi="仿宋" w:eastAsia="仿宋" w:cs="仿宋"/>
          <w:color w:val="auto"/>
          <w:sz w:val="32"/>
          <w:szCs w:val="32"/>
          <w:lang w:val="en-US" w:eastAsia="zh-CN"/>
        </w:rPr>
        <w:t>规模较上年增加1亿元，</w:t>
      </w:r>
      <w:r>
        <w:rPr>
          <w:rFonts w:hint="eastAsia" w:ascii="仿宋" w:hAnsi="仿宋" w:eastAsia="仿宋" w:cs="方正清仿宋 简 Bold"/>
          <w:color w:val="000000"/>
          <w:sz w:val="32"/>
          <w:szCs w:val="32"/>
        </w:rPr>
        <w:t>绿色信贷占比、客户户数</w:t>
      </w:r>
      <w:r>
        <w:rPr>
          <w:rFonts w:hint="eastAsia" w:ascii="仿宋" w:hAnsi="仿宋" w:eastAsia="仿宋" w:cs="方正清仿宋 简 Bold"/>
          <w:color w:val="000000"/>
          <w:sz w:val="32"/>
          <w:szCs w:val="32"/>
          <w:lang w:eastAsia="zh-CN"/>
        </w:rPr>
        <w:t>稳步</w:t>
      </w:r>
      <w:r>
        <w:rPr>
          <w:rFonts w:hint="eastAsia" w:ascii="仿宋" w:hAnsi="仿宋" w:eastAsia="仿宋" w:cs="方正清仿宋 简 Bold"/>
          <w:color w:val="000000"/>
          <w:sz w:val="32"/>
          <w:szCs w:val="32"/>
        </w:rPr>
        <w:t>提升。</w:t>
      </w:r>
    </w:p>
    <w:p>
      <w:pPr>
        <w:wordWrap/>
        <w:adjustRightInd/>
        <w:snapToGrid/>
        <w:spacing w:line="590" w:lineRule="exact"/>
        <w:ind w:left="0" w:leftChars="0" w:right="0" w:firstLine="643" w:firstLineChars="200"/>
        <w:jc w:val="both"/>
        <w:textAlignment w:val="auto"/>
        <w:rPr>
          <w:rFonts w:hint="eastAsia" w:ascii="楷体" w:hAnsi="楷体" w:eastAsia="楷体" w:cs="楷体"/>
          <w:b/>
          <w:bCs/>
          <w:sz w:val="32"/>
          <w:szCs w:val="32"/>
        </w:rPr>
      </w:pPr>
      <w:r>
        <w:rPr>
          <w:rFonts w:hint="eastAsia" w:ascii="楷体" w:hAnsi="楷体" w:eastAsia="楷体" w:cs="楷体"/>
          <w:b/>
          <w:color w:val="000000"/>
          <w:sz w:val="32"/>
          <w:szCs w:val="32"/>
        </w:rPr>
        <w:t>（三）</w:t>
      </w:r>
      <w:r>
        <w:rPr>
          <w:rFonts w:hint="eastAsia" w:ascii="楷体" w:hAnsi="楷体" w:eastAsia="楷体" w:cs="楷体"/>
          <w:b/>
          <w:color w:val="000000"/>
          <w:sz w:val="32"/>
          <w:szCs w:val="32"/>
          <w:lang w:eastAsia="zh-CN"/>
        </w:rPr>
        <w:t>自身环境表现</w:t>
      </w:r>
    </w:p>
    <w:p>
      <w:pPr>
        <w:wordWrap/>
        <w:adjustRightInd/>
        <w:snapToGrid/>
        <w:spacing w:line="590" w:lineRule="exact"/>
        <w:ind w:left="0" w:leftChars="0" w:right="0" w:firstLine="640" w:firstLineChars="200"/>
        <w:jc w:val="both"/>
        <w:textAlignment w:val="auto"/>
        <w:rPr>
          <w:rFonts w:ascii="仿宋" w:hAnsi="仿宋" w:eastAsia="仿宋" w:cs="方正清仿宋 简 Bold"/>
          <w:sz w:val="32"/>
          <w:szCs w:val="32"/>
        </w:rPr>
      </w:pPr>
      <w:r>
        <w:rPr>
          <w:rFonts w:hint="eastAsia" w:ascii="仿宋" w:hAnsi="仿宋" w:eastAsia="仿宋" w:cs="方正清仿宋 简 Bold"/>
          <w:sz w:val="32"/>
          <w:szCs w:val="32"/>
        </w:rPr>
        <w:t>我行认真贯彻</w:t>
      </w:r>
      <w:r>
        <w:rPr>
          <w:rFonts w:hint="eastAsia" w:ascii="仿宋" w:hAnsi="仿宋" w:eastAsia="仿宋" w:cs="方正清仿宋 简 Bold"/>
          <w:sz w:val="32"/>
          <w:szCs w:val="32"/>
          <w:lang w:eastAsia="zh-CN"/>
        </w:rPr>
        <w:t>绿色</w:t>
      </w:r>
      <w:r>
        <w:rPr>
          <w:rFonts w:hint="eastAsia" w:ascii="仿宋" w:hAnsi="仿宋" w:eastAsia="仿宋" w:cs="方正清仿宋 简 Bold"/>
          <w:sz w:val="32"/>
          <w:szCs w:val="32"/>
        </w:rPr>
        <w:t>发展理念，</w:t>
      </w:r>
      <w:r>
        <w:rPr>
          <w:rFonts w:hint="eastAsia" w:ascii="仿宋" w:hAnsi="仿宋" w:eastAsia="仿宋" w:cs="方正清仿宋 简 Bold"/>
          <w:color w:val="000000"/>
          <w:sz w:val="32"/>
          <w:szCs w:val="32"/>
          <w:lang w:eastAsia="zh-CN"/>
        </w:rPr>
        <w:t>坚持</w:t>
      </w:r>
      <w:r>
        <w:rPr>
          <w:rFonts w:hint="eastAsia" w:ascii="仿宋" w:hAnsi="仿宋" w:eastAsia="仿宋" w:cs="方正清仿宋 简 Bold"/>
          <w:color w:val="000000"/>
          <w:sz w:val="32"/>
          <w:szCs w:val="32"/>
        </w:rPr>
        <w:t>厉行节约</w:t>
      </w:r>
      <w:r>
        <w:rPr>
          <w:rFonts w:hint="eastAsia" w:ascii="仿宋" w:hAnsi="仿宋" w:eastAsia="仿宋" w:cs="方正清仿宋 简 Bold"/>
          <w:color w:val="000000"/>
          <w:sz w:val="32"/>
          <w:szCs w:val="32"/>
          <w:lang w:eastAsia="zh-CN"/>
        </w:rPr>
        <w:t>精神</w:t>
      </w:r>
      <w:r>
        <w:rPr>
          <w:rFonts w:hint="eastAsia" w:ascii="仿宋" w:hAnsi="仿宋" w:eastAsia="仿宋" w:cs="方正清仿宋 简 Bold"/>
          <w:sz w:val="32"/>
          <w:szCs w:val="32"/>
        </w:rPr>
        <w:t>，实现多维度节能减排，</w:t>
      </w:r>
      <w:r>
        <w:rPr>
          <w:rFonts w:hint="eastAsia" w:ascii="仿宋" w:hAnsi="仿宋" w:eastAsia="仿宋" w:cs="方正清仿宋 简 Bold"/>
          <w:sz w:val="32"/>
          <w:szCs w:val="32"/>
          <w:lang w:eastAsia="zh-CN"/>
        </w:rPr>
        <w:t>切实</w:t>
      </w:r>
      <w:r>
        <w:rPr>
          <w:rFonts w:hint="eastAsia" w:ascii="仿宋" w:hAnsi="仿宋" w:eastAsia="仿宋" w:cs="方正清仿宋 简 Bold"/>
          <w:sz w:val="32"/>
          <w:szCs w:val="32"/>
        </w:rPr>
        <w:t>履行环境责任。大力倡导员工绿色出行、减少公务</w:t>
      </w:r>
      <w:r>
        <w:rPr>
          <w:rFonts w:hint="eastAsia" w:ascii="仿宋" w:hAnsi="仿宋" w:eastAsia="仿宋" w:cs="方正清仿宋 简 Bold"/>
          <w:sz w:val="32"/>
          <w:szCs w:val="32"/>
          <w:lang w:eastAsia="zh-CN"/>
        </w:rPr>
        <w:t>用</w:t>
      </w:r>
      <w:r>
        <w:rPr>
          <w:rFonts w:hint="eastAsia" w:ascii="仿宋" w:hAnsi="仿宋" w:eastAsia="仿宋" w:cs="方正清仿宋 简 Bold"/>
          <w:sz w:val="32"/>
          <w:szCs w:val="32"/>
        </w:rPr>
        <w:t>车</w:t>
      </w:r>
      <w:r>
        <w:rPr>
          <w:rFonts w:hint="eastAsia" w:ascii="仿宋" w:hAnsi="仿宋" w:eastAsia="仿宋" w:cs="方正清仿宋 简 Bold"/>
          <w:sz w:val="32"/>
          <w:szCs w:val="32"/>
          <w:lang w:eastAsia="zh-CN"/>
        </w:rPr>
        <w:t>，</w:t>
      </w:r>
      <w:r>
        <w:rPr>
          <w:rFonts w:hint="eastAsia" w:ascii="仿宋" w:hAnsi="仿宋" w:eastAsia="仿宋" w:cs="方正清仿宋 简 Bold"/>
          <w:sz w:val="32"/>
          <w:szCs w:val="32"/>
        </w:rPr>
        <w:t>降低电梯的使用率；推行无纸化移动办公</w:t>
      </w:r>
      <w:r>
        <w:rPr>
          <w:rFonts w:hint="eastAsia" w:ascii="仿宋" w:hAnsi="仿宋" w:eastAsia="仿宋" w:cs="方正清仿宋 简 Bold"/>
          <w:sz w:val="32"/>
          <w:szCs w:val="32"/>
          <w:lang w:eastAsia="zh-CN"/>
        </w:rPr>
        <w:t>，</w:t>
      </w:r>
      <w:r>
        <w:rPr>
          <w:rFonts w:hint="eastAsia" w:ascii="仿宋" w:hAnsi="仿宋" w:eastAsia="仿宋" w:cs="方正清仿宋 简 Bold"/>
          <w:sz w:val="32"/>
          <w:szCs w:val="32"/>
        </w:rPr>
        <w:t>不断提升自身环境和社会表现。推进网点智能化及轻型化建设，电子渠道各项业务指标均取得快速增长</w:t>
      </w:r>
      <w:r>
        <w:rPr>
          <w:rFonts w:hint="eastAsia" w:ascii="仿宋" w:hAnsi="仿宋" w:eastAsia="仿宋" w:cs="方正清仿宋 简 Bold"/>
          <w:sz w:val="32"/>
          <w:szCs w:val="32"/>
          <w:lang w:eastAsia="zh-CN"/>
        </w:rPr>
        <w:t>。</w:t>
      </w:r>
      <w:r>
        <w:rPr>
          <w:rFonts w:hint="eastAsia" w:ascii="仿宋" w:hAnsi="仿宋" w:eastAsia="仿宋" w:cs="方正清仿宋 简 Bold"/>
          <w:sz w:val="32"/>
          <w:szCs w:val="32"/>
          <w:lang w:val="en-US" w:eastAsia="zh-CN"/>
        </w:rPr>
        <w:t>2020年，我行</w:t>
      </w:r>
      <w:r>
        <w:rPr>
          <w:rFonts w:hint="eastAsia" w:ascii="仿宋" w:hAnsi="仿宋" w:eastAsia="仿宋" w:cs="方正清仿宋 简 Bold"/>
          <w:color w:val="000000"/>
          <w:sz w:val="32"/>
          <w:szCs w:val="32"/>
        </w:rPr>
        <w:t>经营及生产性用水约3.9万吨，用电约783.6万千瓦时，汽油</w:t>
      </w:r>
      <w:r>
        <w:rPr>
          <w:rFonts w:hint="eastAsia" w:ascii="仿宋" w:hAnsi="仿宋" w:eastAsia="仿宋" w:cs="方正清仿宋 简 Bold"/>
          <w:color w:val="000000"/>
          <w:sz w:val="32"/>
          <w:szCs w:val="32"/>
          <w:lang w:eastAsia="zh-CN"/>
        </w:rPr>
        <w:t>约</w:t>
      </w:r>
      <w:r>
        <w:rPr>
          <w:rFonts w:hint="eastAsia" w:ascii="仿宋" w:hAnsi="仿宋" w:eastAsia="仿宋" w:cs="方正清仿宋 简 Bold"/>
          <w:color w:val="000000"/>
          <w:sz w:val="32"/>
          <w:szCs w:val="32"/>
        </w:rPr>
        <w:t>29.5万升，用纸量70.6吨。</w:t>
      </w:r>
      <w:r>
        <w:rPr>
          <w:rFonts w:hint="eastAsia" w:ascii="仿宋" w:hAnsi="仿宋" w:eastAsia="仿宋" w:cs="方正清仿宋 简 Bold"/>
          <w:sz w:val="32"/>
          <w:szCs w:val="32"/>
        </w:rPr>
        <w:t>2021年</w:t>
      </w:r>
      <w:r>
        <w:rPr>
          <w:rFonts w:hint="eastAsia" w:ascii="仿宋" w:hAnsi="仿宋" w:eastAsia="仿宋" w:cs="方正清仿宋 简 Bold"/>
          <w:sz w:val="32"/>
          <w:szCs w:val="32"/>
          <w:lang w:eastAsia="zh-CN"/>
        </w:rPr>
        <w:t>，</w:t>
      </w:r>
      <w:r>
        <w:rPr>
          <w:rFonts w:hint="eastAsia" w:ascii="仿宋" w:hAnsi="仿宋" w:eastAsia="仿宋" w:cs="方正清仿宋 简 Bold"/>
          <w:sz w:val="32"/>
          <w:szCs w:val="32"/>
        </w:rPr>
        <w:t>我行</w:t>
      </w:r>
      <w:r>
        <w:rPr>
          <w:rFonts w:hint="eastAsia" w:ascii="仿宋" w:hAnsi="仿宋" w:eastAsia="仿宋" w:cs="方正清仿宋 简 Bold"/>
          <w:sz w:val="32"/>
          <w:szCs w:val="32"/>
          <w:lang w:eastAsia="zh-CN"/>
        </w:rPr>
        <w:t>将</w:t>
      </w:r>
      <w:r>
        <w:rPr>
          <w:rFonts w:hint="eastAsia" w:ascii="仿宋" w:hAnsi="仿宋" w:eastAsia="仿宋" w:cs="方正清仿宋 简 Bold"/>
          <w:sz w:val="32"/>
          <w:szCs w:val="32"/>
        </w:rPr>
        <w:t>围绕垃圾分类、节能减排、绿色公益、绿色办公、绿色出行等方面</w:t>
      </w:r>
      <w:r>
        <w:rPr>
          <w:rFonts w:hint="eastAsia" w:ascii="仿宋" w:hAnsi="仿宋" w:eastAsia="仿宋" w:cs="方正清仿宋 简 Bold"/>
          <w:sz w:val="32"/>
          <w:szCs w:val="32"/>
          <w:lang w:eastAsia="zh-CN"/>
        </w:rPr>
        <w:t>持续</w:t>
      </w:r>
      <w:r>
        <w:rPr>
          <w:rFonts w:hint="eastAsia" w:ascii="仿宋" w:hAnsi="仿宋" w:eastAsia="仿宋" w:cs="方正清仿宋 简 Bold"/>
          <w:sz w:val="32"/>
          <w:szCs w:val="32"/>
        </w:rPr>
        <w:t>强化内部教育</w:t>
      </w:r>
      <w:r>
        <w:rPr>
          <w:rFonts w:hint="eastAsia" w:ascii="仿宋" w:hAnsi="仿宋" w:eastAsia="仿宋" w:cs="方正清仿宋 简 Bold"/>
          <w:sz w:val="32"/>
          <w:szCs w:val="32"/>
          <w:lang w:eastAsia="zh-CN"/>
        </w:rPr>
        <w:t>，加大</w:t>
      </w:r>
      <w:r>
        <w:rPr>
          <w:rFonts w:hint="eastAsia" w:ascii="仿宋" w:hAnsi="仿宋" w:eastAsia="仿宋" w:cs="方正清仿宋 简 Bold"/>
          <w:sz w:val="32"/>
          <w:szCs w:val="32"/>
        </w:rPr>
        <w:t>宣传推广和日常运营管理力度，力争人均用电量、用水量、用</w:t>
      </w:r>
      <w:r>
        <w:rPr>
          <w:rFonts w:hint="eastAsia" w:ascii="仿宋" w:hAnsi="仿宋" w:eastAsia="仿宋" w:cs="方正清仿宋 简 Bold"/>
          <w:sz w:val="32"/>
          <w:szCs w:val="32"/>
          <w:lang w:eastAsia="zh-CN"/>
        </w:rPr>
        <w:t>纸</w:t>
      </w:r>
      <w:r>
        <w:rPr>
          <w:rFonts w:hint="eastAsia" w:ascii="仿宋" w:hAnsi="仿宋" w:eastAsia="仿宋" w:cs="方正清仿宋 简 Bold"/>
          <w:sz w:val="32"/>
          <w:szCs w:val="32"/>
        </w:rPr>
        <w:t>量</w:t>
      </w:r>
      <w:r>
        <w:rPr>
          <w:rFonts w:hint="eastAsia" w:ascii="仿宋" w:hAnsi="仿宋" w:eastAsia="仿宋" w:cs="方正清仿宋 简 Bold"/>
          <w:sz w:val="32"/>
          <w:szCs w:val="32"/>
          <w:lang w:eastAsia="zh-CN"/>
        </w:rPr>
        <w:t>进一步</w:t>
      </w:r>
      <w:r>
        <w:rPr>
          <w:rFonts w:hint="eastAsia" w:ascii="仿宋" w:hAnsi="仿宋" w:eastAsia="仿宋" w:cs="方正清仿宋 简 Bold"/>
          <w:sz w:val="32"/>
          <w:szCs w:val="32"/>
        </w:rPr>
        <w:t>下降。</w:t>
      </w:r>
    </w:p>
    <w:p>
      <w:pPr>
        <w:jc w:val="center"/>
        <w:rPr>
          <w:rFonts w:ascii="宋体" w:hAnsi="宋体" w:eastAsia="宋体" w:cs="宋体"/>
          <w:sz w:val="28"/>
          <w:szCs w:val="28"/>
        </w:rPr>
      </w:pPr>
      <w:bookmarkStart w:id="5" w:name="_Toc20523"/>
      <w:bookmarkStart w:id="6" w:name="_Toc13055"/>
      <w:bookmarkStart w:id="7" w:name="_Toc23339686"/>
      <w:bookmarkStart w:id="8" w:name="_Toc23339948"/>
      <w:r>
        <w:rPr>
          <w:rFonts w:hint="eastAsia" w:ascii="宋体" w:hAnsi="宋体" w:eastAsia="宋体" w:cs="宋体"/>
          <w:sz w:val="28"/>
          <w:szCs w:val="28"/>
        </w:rPr>
        <w:t>表1： 本</w:t>
      </w:r>
      <w:r>
        <w:rPr>
          <w:rFonts w:hint="eastAsia" w:ascii="宋体" w:hAnsi="宋体" w:cs="宋体"/>
          <w:sz w:val="28"/>
          <w:szCs w:val="28"/>
          <w:lang w:eastAsia="zh-CN"/>
        </w:rPr>
        <w:t>行</w:t>
      </w:r>
      <w:r>
        <w:rPr>
          <w:rFonts w:hint="eastAsia" w:ascii="宋体" w:hAnsi="宋体" w:eastAsia="宋体" w:cs="宋体"/>
          <w:sz w:val="28"/>
          <w:szCs w:val="28"/>
        </w:rPr>
        <w:t>202</w:t>
      </w:r>
      <w:r>
        <w:rPr>
          <w:rFonts w:ascii="宋体" w:hAnsi="宋体" w:eastAsia="宋体" w:cs="宋体"/>
          <w:sz w:val="28"/>
          <w:szCs w:val="28"/>
        </w:rPr>
        <w:t>0</w:t>
      </w:r>
      <w:r>
        <w:rPr>
          <w:rFonts w:hint="eastAsia" w:ascii="宋体" w:hAnsi="宋体" w:eastAsia="宋体" w:cs="宋体"/>
          <w:sz w:val="28"/>
          <w:szCs w:val="28"/>
        </w:rPr>
        <w:t>年度</w:t>
      </w:r>
      <w:r>
        <w:rPr>
          <w:rFonts w:hint="eastAsia" w:ascii="宋体" w:hAnsi="宋体" w:cs="宋体"/>
          <w:sz w:val="28"/>
          <w:szCs w:val="28"/>
          <w:lang w:eastAsia="zh-CN"/>
        </w:rPr>
        <w:t>绿色金融发展及自身环境表现</w:t>
      </w:r>
    </w:p>
    <w:tbl>
      <w:tblPr>
        <w:tblStyle w:val="31"/>
        <w:tblW w:w="884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97"/>
        <w:gridCol w:w="2570"/>
        <w:gridCol w:w="1344"/>
        <w:gridCol w:w="1344"/>
        <w:gridCol w:w="1344"/>
        <w:gridCol w:w="134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2" w:hRule="atLeast"/>
        </w:trPr>
        <w:tc>
          <w:tcPr>
            <w:tcW w:w="897" w:type="dxa"/>
            <w:tcBorders>
              <w:tl2br w:val="nil"/>
              <w:tr2bl w:val="nil"/>
            </w:tcBorders>
            <w:shd w:val="clear" w:color="auto" w:fill="455F51"/>
            <w:vAlign w:val="top"/>
          </w:tcPr>
          <w:p>
            <w:pPr>
              <w:jc w:val="center"/>
              <w:rPr>
                <w:rFonts w:hint="eastAsia" w:ascii="宋体" w:hAnsi="宋体" w:eastAsia="宋体" w:cs="宋体"/>
                <w:b w:val="0"/>
                <w:bCs w:val="0"/>
                <w:color w:val="FFFFFF"/>
                <w:kern w:val="0"/>
                <w:sz w:val="28"/>
                <w:szCs w:val="28"/>
              </w:rPr>
            </w:pPr>
          </w:p>
        </w:tc>
        <w:tc>
          <w:tcPr>
            <w:tcW w:w="2570" w:type="dxa"/>
            <w:tcBorders>
              <w:tl2br w:val="nil"/>
              <w:tr2bl w:val="nil"/>
            </w:tcBorders>
            <w:shd w:val="clear" w:color="auto" w:fill="455F51"/>
            <w:vAlign w:val="top"/>
          </w:tcPr>
          <w:p>
            <w:pPr>
              <w:jc w:val="center"/>
              <w:rPr>
                <w:rFonts w:hint="eastAsia" w:ascii="宋体" w:hAnsi="宋体" w:eastAsia="宋体" w:cs="宋体"/>
                <w:b/>
                <w:bCs/>
                <w:color w:val="FFFFFF"/>
                <w:sz w:val="28"/>
                <w:szCs w:val="28"/>
              </w:rPr>
            </w:pPr>
            <w:r>
              <w:rPr>
                <w:rFonts w:hint="eastAsia" w:ascii="宋体" w:hAnsi="宋体" w:eastAsia="宋体" w:cs="宋体"/>
                <w:b/>
                <w:bCs/>
                <w:color w:val="FFFFFF"/>
                <w:sz w:val="28"/>
                <w:szCs w:val="28"/>
                <w:lang w:val="zh-CN"/>
              </w:rPr>
              <w:t>环境指标</w:t>
            </w:r>
          </w:p>
        </w:tc>
        <w:tc>
          <w:tcPr>
            <w:tcW w:w="1344" w:type="dxa"/>
            <w:tcBorders>
              <w:tl2br w:val="nil"/>
              <w:tr2bl w:val="nil"/>
            </w:tcBorders>
            <w:shd w:val="clear" w:color="auto" w:fill="455F51"/>
            <w:vAlign w:val="top"/>
          </w:tcPr>
          <w:p>
            <w:pPr>
              <w:jc w:val="center"/>
              <w:rPr>
                <w:rFonts w:hint="eastAsia" w:ascii="宋体" w:hAnsi="宋体" w:eastAsia="宋体" w:cs="宋体"/>
                <w:b/>
                <w:bCs/>
                <w:color w:val="FFFFFF"/>
                <w:sz w:val="28"/>
                <w:szCs w:val="28"/>
              </w:rPr>
            </w:pPr>
            <w:r>
              <w:rPr>
                <w:rFonts w:hint="eastAsia" w:ascii="宋体" w:hAnsi="宋体" w:eastAsia="宋体" w:cs="宋体"/>
                <w:b/>
                <w:bCs/>
                <w:color w:val="FFFFFF"/>
                <w:sz w:val="28"/>
                <w:szCs w:val="28"/>
              </w:rPr>
              <w:t>单位</w:t>
            </w:r>
          </w:p>
        </w:tc>
        <w:tc>
          <w:tcPr>
            <w:tcW w:w="1344" w:type="dxa"/>
            <w:tcBorders>
              <w:tl2br w:val="nil"/>
              <w:tr2bl w:val="nil"/>
            </w:tcBorders>
            <w:shd w:val="clear" w:color="auto" w:fill="455F51"/>
            <w:vAlign w:val="top"/>
          </w:tcPr>
          <w:p>
            <w:pPr>
              <w:jc w:val="center"/>
              <w:rPr>
                <w:rFonts w:hint="eastAsia" w:ascii="宋体" w:hAnsi="宋体" w:eastAsia="宋体" w:cs="宋体"/>
                <w:b/>
                <w:bCs/>
                <w:color w:val="FFFFFF"/>
                <w:sz w:val="28"/>
                <w:szCs w:val="28"/>
              </w:rPr>
            </w:pPr>
            <w:r>
              <w:rPr>
                <w:rFonts w:hint="eastAsia" w:ascii="宋体" w:hAnsi="宋体" w:eastAsia="宋体" w:cs="宋体"/>
                <w:b/>
                <w:bCs/>
                <w:color w:val="FFFFFF"/>
                <w:sz w:val="28"/>
                <w:szCs w:val="28"/>
              </w:rPr>
              <w:t>2020年</w:t>
            </w:r>
          </w:p>
        </w:tc>
        <w:tc>
          <w:tcPr>
            <w:tcW w:w="1344" w:type="dxa"/>
            <w:tcBorders>
              <w:tl2br w:val="nil"/>
              <w:tr2bl w:val="nil"/>
            </w:tcBorders>
            <w:shd w:val="clear" w:color="auto" w:fill="455F51"/>
            <w:vAlign w:val="top"/>
          </w:tcPr>
          <w:p>
            <w:pPr>
              <w:jc w:val="center"/>
              <w:rPr>
                <w:rFonts w:hint="eastAsia" w:ascii="宋体" w:hAnsi="宋体" w:eastAsia="宋体" w:cs="宋体"/>
                <w:b/>
                <w:bCs/>
                <w:color w:val="FFFFFF"/>
                <w:sz w:val="28"/>
                <w:szCs w:val="28"/>
              </w:rPr>
            </w:pPr>
            <w:r>
              <w:rPr>
                <w:rFonts w:hint="eastAsia" w:ascii="宋体" w:hAnsi="宋体" w:eastAsia="宋体" w:cs="宋体"/>
                <w:b/>
                <w:bCs/>
                <w:color w:val="FFFFFF"/>
                <w:sz w:val="28"/>
                <w:szCs w:val="28"/>
              </w:rPr>
              <w:t>2019年</w:t>
            </w:r>
          </w:p>
        </w:tc>
        <w:tc>
          <w:tcPr>
            <w:tcW w:w="1345" w:type="dxa"/>
            <w:tcBorders>
              <w:tl2br w:val="nil"/>
              <w:tr2bl w:val="nil"/>
            </w:tcBorders>
            <w:shd w:val="clear" w:color="auto" w:fill="455F51"/>
            <w:vAlign w:val="top"/>
          </w:tcPr>
          <w:p>
            <w:pPr>
              <w:jc w:val="center"/>
              <w:rPr>
                <w:rFonts w:hint="eastAsia" w:ascii="宋体" w:hAnsi="宋体" w:eastAsia="宋体" w:cs="宋体"/>
                <w:b/>
                <w:bCs/>
                <w:color w:val="FFFFFF"/>
                <w:sz w:val="28"/>
                <w:szCs w:val="28"/>
              </w:rPr>
            </w:pPr>
            <w:r>
              <w:rPr>
                <w:rFonts w:hint="eastAsia" w:ascii="宋体" w:hAnsi="宋体" w:eastAsia="宋体" w:cs="宋体"/>
                <w:b/>
                <w:bCs/>
                <w:color w:val="FFFFFF"/>
                <w:sz w:val="28"/>
                <w:szCs w:val="28"/>
              </w:rPr>
              <w:t>同比变化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4" w:hRule="atLeast"/>
        </w:trPr>
        <w:tc>
          <w:tcPr>
            <w:tcW w:w="897" w:type="dxa"/>
            <w:vMerge w:val="restart"/>
            <w:tcBorders>
              <w:tl2br w:val="nil"/>
              <w:tr2bl w:val="nil"/>
            </w:tcBorders>
            <w:shd w:val="clear" w:color="auto" w:fill="86A795"/>
            <w:vAlign w:val="center"/>
          </w:tcPr>
          <w:p>
            <w:pPr>
              <w:jc w:val="center"/>
              <w:rPr>
                <w:rFonts w:hint="eastAsia" w:ascii="宋体" w:hAnsi="宋体" w:eastAsia="宋体" w:cs="宋体"/>
                <w:b/>
                <w:bCs/>
                <w:color w:val="FFFFFF"/>
                <w:sz w:val="28"/>
                <w:szCs w:val="28"/>
              </w:rPr>
            </w:pPr>
            <w:r>
              <w:rPr>
                <w:rFonts w:hint="eastAsia" w:ascii="宋体" w:hAnsi="宋体" w:eastAsia="宋体" w:cs="宋体"/>
                <w:b/>
                <w:bCs/>
                <w:color w:val="FFFFFF"/>
                <w:sz w:val="28"/>
                <w:szCs w:val="28"/>
              </w:rPr>
              <w:t>绿色金融业务</w:t>
            </w:r>
          </w:p>
        </w:tc>
        <w:tc>
          <w:tcPr>
            <w:tcW w:w="2570" w:type="dxa"/>
            <w:tcBorders>
              <w:tl2br w:val="nil"/>
              <w:tr2bl w:val="nil"/>
            </w:tcBorders>
            <w:shd w:val="clear" w:color="auto" w:fill="AEC4B8"/>
            <w:vAlign w:val="center"/>
          </w:tcPr>
          <w:p>
            <w:pPr>
              <w:jc w:val="center"/>
              <w:rPr>
                <w:rFonts w:hint="eastAsia" w:ascii="宋体" w:hAnsi="宋体" w:eastAsia="宋体" w:cs="宋体"/>
                <w:sz w:val="28"/>
                <w:szCs w:val="28"/>
              </w:rPr>
            </w:pPr>
            <w:r>
              <w:rPr>
                <w:rFonts w:hint="eastAsia" w:ascii="宋体" w:hAnsi="宋体" w:eastAsia="宋体" w:cs="宋体"/>
                <w:sz w:val="28"/>
                <w:szCs w:val="28"/>
              </w:rPr>
              <w:t>绿色信贷余额</w:t>
            </w:r>
          </w:p>
        </w:tc>
        <w:tc>
          <w:tcPr>
            <w:tcW w:w="1344" w:type="dxa"/>
            <w:tcBorders>
              <w:tl2br w:val="nil"/>
              <w:tr2bl w:val="nil"/>
            </w:tcBorders>
            <w:shd w:val="clear" w:color="auto" w:fill="D6E1DB"/>
            <w:tcMar>
              <w:left w:w="0" w:type="dxa"/>
              <w:right w:w="0"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rPr>
              <w:t>亿元</w:t>
            </w:r>
          </w:p>
        </w:tc>
        <w:tc>
          <w:tcPr>
            <w:tcW w:w="1344" w:type="dxa"/>
            <w:tcBorders>
              <w:tl2br w:val="nil"/>
              <w:tr2bl w:val="nil"/>
            </w:tcBorders>
            <w:shd w:val="clear" w:color="auto" w:fill="F2F2F2"/>
            <w:tcMar>
              <w:left w:w="0" w:type="dxa"/>
              <w:right w:w="0" w:type="dxa"/>
            </w:tcMar>
            <w:vAlign w:val="center"/>
          </w:tcPr>
          <w:p>
            <w:pPr>
              <w:jc w:val="center"/>
              <w:rPr>
                <w:rFonts w:hint="eastAsia" w:ascii="宋体" w:hAnsi="宋体" w:eastAsia="宋体" w:cs="宋体"/>
                <w:sz w:val="28"/>
                <w:szCs w:val="28"/>
              </w:rPr>
            </w:pPr>
            <w:r>
              <w:rPr>
                <w:rFonts w:hint="eastAsia" w:ascii="宋体" w:hAnsi="宋体" w:eastAsia="宋体" w:cs="宋体"/>
                <w:color w:val="000000"/>
                <w:sz w:val="32"/>
                <w:szCs w:val="32"/>
              </w:rPr>
              <w:t>2.833</w:t>
            </w:r>
          </w:p>
        </w:tc>
        <w:tc>
          <w:tcPr>
            <w:tcW w:w="1344" w:type="dxa"/>
            <w:tcBorders>
              <w:tl2br w:val="nil"/>
              <w:tr2bl w:val="nil"/>
            </w:tcBorders>
            <w:shd w:val="clear" w:color="auto" w:fill="F2F2F2"/>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9.55</w:t>
            </w:r>
          </w:p>
        </w:tc>
        <w:tc>
          <w:tcPr>
            <w:tcW w:w="1345" w:type="dxa"/>
            <w:tcBorders>
              <w:tl2br w:val="nil"/>
              <w:tr2bl w:val="nil"/>
            </w:tcBorders>
            <w:shd w:val="clear" w:color="auto" w:fill="F2F2F2"/>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6" w:hRule="atLeast"/>
        </w:trPr>
        <w:tc>
          <w:tcPr>
            <w:tcW w:w="897" w:type="dxa"/>
            <w:vMerge w:val="continue"/>
            <w:tcBorders>
              <w:tl2br w:val="nil"/>
              <w:tr2bl w:val="nil"/>
            </w:tcBorders>
            <w:shd w:val="clear" w:color="auto" w:fill="86A795"/>
            <w:vAlign w:val="center"/>
          </w:tcPr>
          <w:p>
            <w:pPr>
              <w:jc w:val="center"/>
              <w:rPr>
                <w:rFonts w:hint="eastAsia" w:ascii="宋体" w:hAnsi="宋体" w:eastAsia="宋体" w:cs="宋体"/>
                <w:b/>
                <w:bCs/>
                <w:color w:val="FFFFFF"/>
                <w:sz w:val="28"/>
                <w:szCs w:val="28"/>
                <w:lang w:val="zh-CN"/>
              </w:rPr>
            </w:pPr>
          </w:p>
        </w:tc>
        <w:tc>
          <w:tcPr>
            <w:tcW w:w="2570" w:type="dxa"/>
            <w:tcBorders>
              <w:tl2br w:val="nil"/>
              <w:tr2bl w:val="nil"/>
            </w:tcBorders>
            <w:shd w:val="clear" w:color="auto" w:fill="AEC4B8"/>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绿色信贷占比</w:t>
            </w:r>
          </w:p>
        </w:tc>
        <w:tc>
          <w:tcPr>
            <w:tcW w:w="1344" w:type="dxa"/>
            <w:tcBorders>
              <w:tl2br w:val="nil"/>
              <w:tr2bl w:val="nil"/>
            </w:tcBorders>
            <w:shd w:val="clear" w:color="auto" w:fill="D6E1DB"/>
            <w:tcMar>
              <w:left w:w="0" w:type="dxa"/>
              <w:right w:w="0"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rPr>
              <w:t>%</w:t>
            </w:r>
          </w:p>
        </w:tc>
        <w:tc>
          <w:tcPr>
            <w:tcW w:w="1344" w:type="dxa"/>
            <w:tcBorders>
              <w:tl2br w:val="nil"/>
              <w:tr2bl w:val="nil"/>
            </w:tcBorders>
            <w:shd w:val="clear" w:color="auto" w:fill="F2F2F2"/>
            <w:tcMar>
              <w:left w:w="0" w:type="dxa"/>
              <w:right w:w="0" w:type="dxa"/>
            </w:tcMar>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0.45</w:t>
            </w:r>
          </w:p>
        </w:tc>
        <w:tc>
          <w:tcPr>
            <w:tcW w:w="1344" w:type="dxa"/>
            <w:tcBorders>
              <w:tl2br w:val="nil"/>
              <w:tr2bl w:val="nil"/>
            </w:tcBorders>
            <w:shd w:val="clear" w:color="auto" w:fill="F2F2F2"/>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1.8</w:t>
            </w:r>
          </w:p>
        </w:tc>
        <w:tc>
          <w:tcPr>
            <w:tcW w:w="1345" w:type="dxa"/>
            <w:tcBorders>
              <w:tl2br w:val="nil"/>
              <w:tr2bl w:val="nil"/>
            </w:tcBorders>
            <w:shd w:val="clear" w:color="auto" w:fill="F2F2F2"/>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6" w:hRule="atLeast"/>
        </w:trPr>
        <w:tc>
          <w:tcPr>
            <w:tcW w:w="897" w:type="dxa"/>
            <w:vMerge w:val="continue"/>
            <w:tcBorders>
              <w:tl2br w:val="nil"/>
              <w:tr2bl w:val="nil"/>
            </w:tcBorders>
            <w:shd w:val="clear" w:color="auto" w:fill="86A795"/>
            <w:vAlign w:val="center"/>
          </w:tcPr>
          <w:p>
            <w:pPr>
              <w:jc w:val="center"/>
              <w:rPr>
                <w:rFonts w:hint="eastAsia" w:ascii="宋体" w:hAnsi="宋体" w:eastAsia="宋体" w:cs="宋体"/>
                <w:b/>
                <w:bCs/>
                <w:color w:val="FFFFFF"/>
                <w:sz w:val="28"/>
                <w:szCs w:val="28"/>
                <w:lang w:val="zh-CN"/>
              </w:rPr>
            </w:pPr>
          </w:p>
        </w:tc>
        <w:tc>
          <w:tcPr>
            <w:tcW w:w="2570" w:type="dxa"/>
            <w:tcBorders>
              <w:tl2br w:val="nil"/>
              <w:tr2bl w:val="nil"/>
            </w:tcBorders>
            <w:shd w:val="clear" w:color="auto" w:fill="AEC4B8"/>
            <w:vAlign w:val="center"/>
          </w:tcPr>
          <w:p>
            <w:pPr>
              <w:jc w:val="center"/>
              <w:rPr>
                <w:rFonts w:hint="eastAsia" w:ascii="宋体" w:hAnsi="宋体" w:eastAsia="宋体" w:cs="宋体"/>
                <w:sz w:val="28"/>
                <w:szCs w:val="28"/>
              </w:rPr>
            </w:pPr>
            <w:r>
              <w:rPr>
                <w:rFonts w:hint="eastAsia" w:ascii="宋体" w:hAnsi="宋体" w:eastAsia="宋体" w:cs="宋体"/>
                <w:sz w:val="28"/>
                <w:szCs w:val="28"/>
              </w:rPr>
              <w:t>绿色信贷客户数</w:t>
            </w:r>
          </w:p>
        </w:tc>
        <w:tc>
          <w:tcPr>
            <w:tcW w:w="1344" w:type="dxa"/>
            <w:tcBorders>
              <w:tl2br w:val="nil"/>
              <w:tr2bl w:val="nil"/>
            </w:tcBorders>
            <w:shd w:val="clear" w:color="auto" w:fill="D6E1DB"/>
            <w:tcMar>
              <w:left w:w="0" w:type="dxa"/>
              <w:right w:w="0"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rPr>
              <w:t>家</w:t>
            </w:r>
          </w:p>
        </w:tc>
        <w:tc>
          <w:tcPr>
            <w:tcW w:w="1344" w:type="dxa"/>
            <w:tcBorders>
              <w:tl2br w:val="nil"/>
              <w:tr2bl w:val="nil"/>
            </w:tcBorders>
            <w:shd w:val="clear" w:color="auto" w:fill="F2F2F2"/>
            <w:tcMar>
              <w:left w:w="0" w:type="dxa"/>
              <w:right w:w="0" w:type="dxa"/>
            </w:tcMar>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11</w:t>
            </w:r>
          </w:p>
        </w:tc>
        <w:tc>
          <w:tcPr>
            <w:tcW w:w="1344" w:type="dxa"/>
            <w:tcBorders>
              <w:tl2br w:val="nil"/>
              <w:tr2bl w:val="nil"/>
            </w:tcBorders>
            <w:shd w:val="clear" w:color="auto" w:fill="F2F2F2"/>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30</w:t>
            </w:r>
          </w:p>
        </w:tc>
        <w:tc>
          <w:tcPr>
            <w:tcW w:w="1345" w:type="dxa"/>
            <w:tcBorders>
              <w:tl2br w:val="nil"/>
              <w:tr2bl w:val="nil"/>
            </w:tcBorders>
            <w:shd w:val="clear" w:color="auto" w:fill="F2F2F2"/>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4" w:hRule="atLeast"/>
        </w:trPr>
        <w:tc>
          <w:tcPr>
            <w:tcW w:w="897" w:type="dxa"/>
            <w:vMerge w:val="restart"/>
            <w:tcBorders>
              <w:tl2br w:val="nil"/>
              <w:tr2bl w:val="nil"/>
            </w:tcBorders>
            <w:shd w:val="clear" w:color="auto" w:fill="86A795"/>
            <w:vAlign w:val="center"/>
          </w:tcPr>
          <w:p>
            <w:pPr>
              <w:jc w:val="center"/>
              <w:rPr>
                <w:rFonts w:hint="eastAsia" w:ascii="宋体" w:hAnsi="宋体" w:eastAsia="宋体" w:cs="宋体"/>
                <w:b/>
                <w:bCs/>
                <w:color w:val="FFFFFF"/>
                <w:sz w:val="28"/>
                <w:szCs w:val="28"/>
                <w:lang w:val="zh-CN"/>
              </w:rPr>
            </w:pPr>
            <w:r>
              <w:rPr>
                <w:rFonts w:hint="eastAsia" w:ascii="宋体" w:hAnsi="宋体" w:eastAsia="宋体" w:cs="宋体"/>
                <w:b/>
                <w:bCs/>
                <w:color w:val="FFFFFF"/>
                <w:sz w:val="28"/>
                <w:szCs w:val="28"/>
                <w:lang w:val="zh-CN"/>
              </w:rPr>
              <w:t>绿色办公运营</w:t>
            </w:r>
          </w:p>
        </w:tc>
        <w:tc>
          <w:tcPr>
            <w:tcW w:w="2570" w:type="dxa"/>
            <w:tcBorders>
              <w:tl2br w:val="nil"/>
              <w:tr2bl w:val="nil"/>
            </w:tcBorders>
            <w:shd w:val="clear" w:color="auto" w:fill="AEC4B8"/>
            <w:vAlign w:val="center"/>
          </w:tcPr>
          <w:p>
            <w:pPr>
              <w:jc w:val="center"/>
              <w:rPr>
                <w:rFonts w:hint="eastAsia" w:ascii="宋体" w:hAnsi="宋体" w:eastAsia="宋体" w:cs="宋体"/>
                <w:sz w:val="28"/>
                <w:szCs w:val="28"/>
              </w:rPr>
            </w:pPr>
            <w:r>
              <w:rPr>
                <w:rFonts w:hint="eastAsia" w:ascii="宋体" w:hAnsi="宋体" w:eastAsia="宋体" w:cs="宋体"/>
                <w:sz w:val="28"/>
                <w:szCs w:val="28"/>
              </w:rPr>
              <w:t>营业、办公用水量</w:t>
            </w:r>
          </w:p>
        </w:tc>
        <w:tc>
          <w:tcPr>
            <w:tcW w:w="1344" w:type="dxa"/>
            <w:tcBorders>
              <w:tl2br w:val="nil"/>
              <w:tr2bl w:val="nil"/>
            </w:tcBorders>
            <w:shd w:val="clear" w:color="auto" w:fill="D6E1DB"/>
            <w:tcMar>
              <w:left w:w="0" w:type="dxa"/>
              <w:right w:w="0"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lang w:eastAsia="zh-CN"/>
              </w:rPr>
              <w:t>万</w:t>
            </w:r>
            <w:r>
              <w:rPr>
                <w:rFonts w:hint="eastAsia" w:ascii="宋体" w:hAnsi="宋体" w:eastAsia="宋体" w:cs="宋体"/>
                <w:sz w:val="28"/>
                <w:szCs w:val="28"/>
              </w:rPr>
              <w:t>吨</w:t>
            </w:r>
          </w:p>
        </w:tc>
        <w:tc>
          <w:tcPr>
            <w:tcW w:w="1344" w:type="dxa"/>
            <w:tcBorders>
              <w:tl2br w:val="nil"/>
              <w:tr2bl w:val="nil"/>
            </w:tcBorders>
            <w:shd w:val="clear" w:color="auto" w:fill="F2F2F2"/>
            <w:tcMar>
              <w:left w:w="0" w:type="dxa"/>
              <w:right w:w="0" w:type="dxa"/>
            </w:tcMar>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3.9</w:t>
            </w:r>
          </w:p>
        </w:tc>
        <w:tc>
          <w:tcPr>
            <w:tcW w:w="1344" w:type="dxa"/>
            <w:tcBorders>
              <w:tl2br w:val="nil"/>
              <w:tr2bl w:val="nil"/>
            </w:tcBorders>
            <w:shd w:val="clear" w:color="auto" w:fill="F2F2F2"/>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4.3</w:t>
            </w:r>
          </w:p>
        </w:tc>
        <w:tc>
          <w:tcPr>
            <w:tcW w:w="1345" w:type="dxa"/>
            <w:tcBorders>
              <w:tl2br w:val="nil"/>
              <w:tr2bl w:val="nil"/>
            </w:tcBorders>
            <w:shd w:val="clear" w:color="auto" w:fill="F2F2F2"/>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6" w:hRule="atLeast"/>
        </w:trPr>
        <w:tc>
          <w:tcPr>
            <w:tcW w:w="897" w:type="dxa"/>
            <w:vMerge w:val="continue"/>
            <w:tcBorders>
              <w:tl2br w:val="nil"/>
              <w:tr2bl w:val="nil"/>
            </w:tcBorders>
            <w:shd w:val="clear" w:color="auto" w:fill="86A795"/>
            <w:vAlign w:val="center"/>
          </w:tcPr>
          <w:p>
            <w:pPr>
              <w:jc w:val="center"/>
              <w:rPr>
                <w:rFonts w:hint="eastAsia" w:ascii="宋体" w:hAnsi="宋体" w:eastAsia="宋体" w:cs="宋体"/>
                <w:b w:val="0"/>
                <w:bCs w:val="0"/>
                <w:sz w:val="28"/>
                <w:szCs w:val="28"/>
                <w:lang w:val="zh-CN"/>
              </w:rPr>
            </w:pPr>
          </w:p>
        </w:tc>
        <w:tc>
          <w:tcPr>
            <w:tcW w:w="2570" w:type="dxa"/>
            <w:tcBorders>
              <w:tl2br w:val="nil"/>
              <w:tr2bl w:val="nil"/>
            </w:tcBorders>
            <w:shd w:val="clear" w:color="auto" w:fill="AEC4B8"/>
            <w:vAlign w:val="center"/>
          </w:tcPr>
          <w:p>
            <w:pPr>
              <w:jc w:val="center"/>
              <w:rPr>
                <w:rFonts w:hint="eastAsia" w:ascii="宋体" w:hAnsi="宋体" w:eastAsia="宋体" w:cs="宋体"/>
                <w:sz w:val="28"/>
                <w:szCs w:val="28"/>
              </w:rPr>
            </w:pPr>
            <w:r>
              <w:rPr>
                <w:rFonts w:hint="eastAsia" w:ascii="宋体" w:hAnsi="宋体" w:eastAsia="宋体" w:cs="宋体"/>
                <w:sz w:val="28"/>
                <w:szCs w:val="28"/>
              </w:rPr>
              <w:t>营业、办公用电量</w:t>
            </w:r>
          </w:p>
        </w:tc>
        <w:tc>
          <w:tcPr>
            <w:tcW w:w="1344" w:type="dxa"/>
            <w:tcBorders>
              <w:tl2br w:val="nil"/>
              <w:tr2bl w:val="nil"/>
            </w:tcBorders>
            <w:shd w:val="clear" w:color="auto" w:fill="D6E1DB"/>
            <w:tcMar>
              <w:left w:w="0" w:type="dxa"/>
              <w:right w:w="0"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rPr>
              <w:t>万千瓦时</w:t>
            </w:r>
          </w:p>
        </w:tc>
        <w:tc>
          <w:tcPr>
            <w:tcW w:w="1344" w:type="dxa"/>
            <w:tcBorders>
              <w:tl2br w:val="nil"/>
              <w:tr2bl w:val="nil"/>
            </w:tcBorders>
            <w:shd w:val="clear" w:color="auto" w:fill="F2F2F2"/>
            <w:tcMar>
              <w:left w:w="0" w:type="dxa"/>
              <w:right w:w="0" w:type="dxa"/>
            </w:tcMar>
            <w:vAlign w:val="center"/>
          </w:tcPr>
          <w:p>
            <w:pPr>
              <w:jc w:val="center"/>
              <w:rPr>
                <w:rFonts w:hint="eastAsia" w:ascii="宋体" w:hAnsi="宋体" w:eastAsia="宋体" w:cs="宋体"/>
                <w:sz w:val="28"/>
                <w:szCs w:val="28"/>
              </w:rPr>
            </w:pPr>
            <w:r>
              <w:rPr>
                <w:rFonts w:hint="eastAsia" w:ascii="宋体" w:hAnsi="宋体" w:eastAsia="宋体" w:cs="宋体"/>
                <w:color w:val="000000"/>
                <w:sz w:val="32"/>
                <w:szCs w:val="32"/>
              </w:rPr>
              <w:t>783.6</w:t>
            </w:r>
          </w:p>
        </w:tc>
        <w:tc>
          <w:tcPr>
            <w:tcW w:w="1344" w:type="dxa"/>
            <w:tcBorders>
              <w:tl2br w:val="nil"/>
              <w:tr2bl w:val="nil"/>
            </w:tcBorders>
            <w:shd w:val="clear" w:color="auto" w:fill="F2F2F2"/>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804.3</w:t>
            </w:r>
          </w:p>
        </w:tc>
        <w:tc>
          <w:tcPr>
            <w:tcW w:w="1345" w:type="dxa"/>
            <w:tcBorders>
              <w:tl2br w:val="nil"/>
              <w:tr2bl w:val="nil"/>
            </w:tcBorders>
            <w:shd w:val="clear" w:color="auto" w:fill="F2F2F2"/>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6" w:hRule="atLeast"/>
        </w:trPr>
        <w:tc>
          <w:tcPr>
            <w:tcW w:w="897" w:type="dxa"/>
            <w:vMerge w:val="continue"/>
            <w:tcBorders>
              <w:tl2br w:val="nil"/>
              <w:tr2bl w:val="nil"/>
            </w:tcBorders>
            <w:shd w:val="clear" w:color="auto" w:fill="86A795"/>
            <w:vAlign w:val="center"/>
          </w:tcPr>
          <w:p>
            <w:pPr>
              <w:jc w:val="center"/>
              <w:rPr>
                <w:rFonts w:hint="eastAsia" w:ascii="宋体" w:hAnsi="宋体" w:eastAsia="宋体" w:cs="宋体"/>
                <w:b w:val="0"/>
                <w:bCs w:val="0"/>
                <w:sz w:val="28"/>
                <w:szCs w:val="28"/>
                <w:lang w:val="zh-CN"/>
              </w:rPr>
            </w:pPr>
          </w:p>
        </w:tc>
        <w:tc>
          <w:tcPr>
            <w:tcW w:w="2570" w:type="dxa"/>
            <w:tcBorders>
              <w:tl2br w:val="nil"/>
              <w:tr2bl w:val="nil"/>
            </w:tcBorders>
            <w:shd w:val="clear" w:color="auto" w:fill="AEC4B8"/>
            <w:vAlign w:val="center"/>
          </w:tcPr>
          <w:p>
            <w:pPr>
              <w:jc w:val="center"/>
              <w:rPr>
                <w:rFonts w:hint="eastAsia" w:ascii="宋体" w:hAnsi="宋体" w:eastAsia="宋体" w:cs="宋体"/>
                <w:sz w:val="28"/>
                <w:szCs w:val="28"/>
              </w:rPr>
            </w:pPr>
            <w:r>
              <w:rPr>
                <w:rFonts w:hint="eastAsia" w:ascii="宋体" w:hAnsi="宋体" w:eastAsia="宋体" w:cs="宋体"/>
                <w:sz w:val="28"/>
                <w:szCs w:val="28"/>
              </w:rPr>
              <w:t>营业、办公用纸量</w:t>
            </w:r>
          </w:p>
        </w:tc>
        <w:tc>
          <w:tcPr>
            <w:tcW w:w="1344" w:type="dxa"/>
            <w:tcBorders>
              <w:tl2br w:val="nil"/>
              <w:tr2bl w:val="nil"/>
            </w:tcBorders>
            <w:shd w:val="clear" w:color="auto" w:fill="D6E1DB"/>
            <w:tcMar>
              <w:left w:w="0" w:type="dxa"/>
              <w:right w:w="0"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rPr>
              <w:t>万张</w:t>
            </w:r>
          </w:p>
        </w:tc>
        <w:tc>
          <w:tcPr>
            <w:tcW w:w="1344" w:type="dxa"/>
            <w:tcBorders>
              <w:tl2br w:val="nil"/>
              <w:tr2bl w:val="nil"/>
            </w:tcBorders>
            <w:shd w:val="clear" w:color="auto" w:fill="F2F2F2"/>
            <w:tcMar>
              <w:left w:w="0" w:type="dxa"/>
              <w:right w:w="0" w:type="dxa"/>
            </w:tcMar>
            <w:vAlign w:val="center"/>
          </w:tcPr>
          <w:p>
            <w:pPr>
              <w:jc w:val="center"/>
              <w:rPr>
                <w:rFonts w:hint="eastAsia" w:ascii="宋体" w:hAnsi="宋体" w:eastAsia="宋体" w:cs="宋体"/>
                <w:sz w:val="28"/>
                <w:szCs w:val="28"/>
              </w:rPr>
            </w:pPr>
            <w:r>
              <w:rPr>
                <w:rFonts w:hint="eastAsia" w:ascii="宋体" w:hAnsi="宋体" w:eastAsia="宋体" w:cs="宋体"/>
                <w:color w:val="000000"/>
                <w:sz w:val="32"/>
                <w:szCs w:val="32"/>
              </w:rPr>
              <w:t>70.6</w:t>
            </w:r>
          </w:p>
        </w:tc>
        <w:tc>
          <w:tcPr>
            <w:tcW w:w="1344" w:type="dxa"/>
            <w:tcBorders>
              <w:tl2br w:val="nil"/>
              <w:tr2bl w:val="nil"/>
            </w:tcBorders>
            <w:shd w:val="clear" w:color="auto" w:fill="F2F2F2"/>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52.3</w:t>
            </w:r>
          </w:p>
        </w:tc>
        <w:tc>
          <w:tcPr>
            <w:tcW w:w="1345" w:type="dxa"/>
            <w:tcBorders>
              <w:tl2br w:val="nil"/>
              <w:tr2bl w:val="nil"/>
            </w:tcBorders>
            <w:shd w:val="clear" w:color="auto" w:fill="F2F2F2"/>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0.35%</w:t>
            </w:r>
          </w:p>
        </w:tc>
      </w:tr>
    </w:tbl>
    <w:p>
      <w:pPr>
        <w:widowControl w:val="0"/>
        <w:wordWrap/>
        <w:adjustRightInd/>
        <w:snapToGrid/>
        <w:spacing w:line="590" w:lineRule="exact"/>
        <w:ind w:left="0" w:leftChars="0" w:right="0" w:firstLine="560" w:firstLineChars="200"/>
        <w:jc w:val="both"/>
        <w:textAlignment w:val="auto"/>
        <w:outlineLvl w:val="9"/>
        <w:rPr>
          <w:rFonts w:hint="eastAsia" w:ascii="楷体_GB2312" w:hAnsi="楷体_GB2312" w:eastAsia="楷体_GB2312" w:cs="楷体_GB2312"/>
          <w:color w:val="auto"/>
          <w:sz w:val="28"/>
          <w:szCs w:val="28"/>
          <w:lang w:val="en-US" w:eastAsia="zh-CN"/>
        </w:rPr>
      </w:pPr>
      <w:r>
        <w:rPr>
          <w:rFonts w:hint="eastAsia" w:ascii="楷体_GB2312" w:hAnsi="楷体_GB2312" w:eastAsia="楷体_GB2312" w:cs="楷体_GB2312"/>
          <w:color w:val="auto"/>
          <w:sz w:val="28"/>
          <w:szCs w:val="28"/>
          <w:lang w:val="en-US" w:eastAsia="zh-CN"/>
        </w:rPr>
        <w:t>备注：因《绿色贷款专项统计制度》于2020年进行了修订，无法按可比口径来计算同比变化。</w:t>
      </w:r>
    </w:p>
    <w:p>
      <w:pPr>
        <w:wordWrap/>
        <w:adjustRightInd/>
        <w:snapToGrid/>
        <w:spacing w:line="590" w:lineRule="exact"/>
        <w:ind w:left="0" w:leftChars="0" w:right="0" w:firstLine="640" w:firstLineChars="200"/>
        <w:jc w:val="both"/>
        <w:textAlignment w:val="auto"/>
        <w:outlineLvl w:val="0"/>
        <w:rPr>
          <w:rFonts w:ascii="黑体" w:hAnsi="黑体" w:eastAsia="黑体" w:cs="方正清仿宋 简 Bold"/>
          <w:sz w:val="32"/>
          <w:szCs w:val="32"/>
          <w:lang w:val="zh-TW"/>
        </w:rPr>
      </w:pPr>
      <w:r>
        <w:rPr>
          <w:rFonts w:hint="eastAsia" w:ascii="黑体" w:hAnsi="黑体" w:eastAsia="黑体" w:cs="方正清仿宋 简 Bold"/>
          <w:sz w:val="32"/>
          <w:szCs w:val="32"/>
          <w:lang w:eastAsia="zh-CN"/>
        </w:rPr>
        <w:t>二</w:t>
      </w:r>
      <w:r>
        <w:rPr>
          <w:rFonts w:hint="eastAsia" w:ascii="黑体" w:hAnsi="黑体" w:eastAsia="黑体" w:cs="方正清仿宋 简 Bold"/>
          <w:sz w:val="32"/>
          <w:szCs w:val="32"/>
        </w:rPr>
        <w:t>、环境相关治理结构</w:t>
      </w:r>
      <w:bookmarkEnd w:id="5"/>
      <w:bookmarkEnd w:id="6"/>
      <w:bookmarkEnd w:id="7"/>
      <w:bookmarkEnd w:id="8"/>
    </w:p>
    <w:p>
      <w:pPr>
        <w:wordWrap/>
        <w:adjustRightInd/>
        <w:snapToGrid/>
        <w:spacing w:line="590" w:lineRule="exact"/>
        <w:ind w:left="0" w:leftChars="0" w:right="0" w:firstLine="640" w:firstLineChars="200"/>
        <w:jc w:val="both"/>
        <w:textAlignment w:val="auto"/>
        <w:rPr>
          <w:rFonts w:ascii="仿宋" w:hAnsi="仿宋" w:eastAsia="仿宋" w:cs="方正清仿宋 简 Bold"/>
          <w:sz w:val="32"/>
          <w:szCs w:val="32"/>
          <w:lang w:val="zh-TW"/>
        </w:rPr>
      </w:pPr>
      <w:r>
        <w:rPr>
          <w:rFonts w:hint="eastAsia" w:ascii="仿宋" w:hAnsi="仿宋" w:eastAsia="仿宋" w:cs="方正清仿宋 简 Bold"/>
          <w:sz w:val="32"/>
          <w:szCs w:val="32"/>
          <w:lang w:val="zh-TW" w:eastAsia="zh-TW"/>
        </w:rPr>
        <w:t>为深入贯彻</w:t>
      </w:r>
      <w:r>
        <w:rPr>
          <w:rFonts w:hint="eastAsia" w:ascii="仿宋" w:hAnsi="仿宋" w:eastAsia="仿宋" w:cs="方正清仿宋 简 Bold"/>
          <w:sz w:val="32"/>
          <w:szCs w:val="32"/>
          <w:lang w:val="zh-TW"/>
        </w:rPr>
        <w:t>习近平生态</w:t>
      </w:r>
      <w:r>
        <w:rPr>
          <w:rFonts w:ascii="仿宋" w:hAnsi="仿宋" w:eastAsia="仿宋" w:cs="方正清仿宋 简 Bold"/>
          <w:sz w:val="32"/>
          <w:szCs w:val="32"/>
          <w:lang w:val="zh-TW"/>
        </w:rPr>
        <w:t>文明思想</w:t>
      </w:r>
      <w:r>
        <w:rPr>
          <w:rFonts w:hint="eastAsia" w:ascii="仿宋" w:hAnsi="仿宋" w:eastAsia="仿宋" w:cs="方正清仿宋 简 Bold"/>
          <w:sz w:val="32"/>
          <w:szCs w:val="32"/>
          <w:lang w:val="zh-TW"/>
        </w:rPr>
        <w:t>，</w:t>
      </w:r>
      <w:r>
        <w:rPr>
          <w:rFonts w:ascii="仿宋" w:hAnsi="仿宋" w:eastAsia="仿宋" w:cs="方正清仿宋 简 Bold"/>
          <w:sz w:val="32"/>
          <w:szCs w:val="32"/>
          <w:lang w:val="zh-TW"/>
        </w:rPr>
        <w:t>认真落实</w:t>
      </w:r>
      <w:r>
        <w:rPr>
          <w:rFonts w:hint="eastAsia" w:ascii="仿宋" w:hAnsi="仿宋" w:eastAsia="仿宋" w:cs="方正清仿宋 简 Bold"/>
          <w:sz w:val="32"/>
          <w:szCs w:val="32"/>
          <w:lang w:val="zh-TW" w:eastAsia="zh-TW"/>
        </w:rPr>
        <w:t>党中央国务院关于大力发展绿色金融、支持绿色低碳产业发展的决策部署，推动实现碳达峰、碳中和目标，我行</w:t>
      </w:r>
      <w:r>
        <w:rPr>
          <w:rFonts w:hint="eastAsia" w:ascii="仿宋" w:hAnsi="仿宋" w:eastAsia="仿宋" w:cs="方正清仿宋 简 Bold"/>
          <w:sz w:val="32"/>
          <w:szCs w:val="32"/>
          <w:lang w:val="zh-TW"/>
        </w:rPr>
        <w:t>董事会</w:t>
      </w:r>
      <w:r>
        <w:rPr>
          <w:rFonts w:hint="eastAsia" w:ascii="仿宋" w:hAnsi="仿宋" w:eastAsia="仿宋" w:cs="方正清仿宋 简 Bold"/>
          <w:sz w:val="32"/>
          <w:szCs w:val="32"/>
          <w:lang w:val="zh-TW" w:eastAsia="zh-TW"/>
        </w:rPr>
        <w:t>高度重视绿色金融建设和发展工作，</w:t>
      </w:r>
      <w:r>
        <w:rPr>
          <w:rFonts w:hint="eastAsia" w:ascii="仿宋" w:hAnsi="仿宋" w:eastAsia="仿宋" w:cs="方正清仿宋 简 Bold"/>
          <w:sz w:val="32"/>
          <w:szCs w:val="32"/>
          <w:lang w:val="zh-TW"/>
        </w:rPr>
        <w:t>审议高级管理层提交的绿色信贷发展情况报告，全面监督、评估本行绿色金融发展战略执行情况；</w:t>
      </w:r>
      <w:r>
        <w:rPr>
          <w:rFonts w:hint="eastAsia" w:ascii="仿宋" w:hAnsi="仿宋" w:eastAsia="仿宋" w:cs="方正清仿宋 简 Bold"/>
          <w:sz w:val="32"/>
          <w:szCs w:val="32"/>
          <w:lang w:val="zh-TW" w:eastAsia="zh-TW"/>
        </w:rPr>
        <w:t>董事会发展战略委员会</w:t>
      </w:r>
      <w:r>
        <w:rPr>
          <w:rFonts w:hint="eastAsia" w:ascii="仿宋" w:hAnsi="仿宋" w:eastAsia="仿宋" w:cs="方正清仿宋 简 Bold"/>
          <w:sz w:val="32"/>
          <w:szCs w:val="32"/>
          <w:lang w:val="zh-TW"/>
        </w:rPr>
        <w:t>定期</w:t>
      </w:r>
      <w:r>
        <w:rPr>
          <w:rFonts w:hint="eastAsia" w:ascii="仿宋" w:hAnsi="仿宋" w:eastAsia="仿宋" w:cs="方正清仿宋 简 Bold"/>
          <w:sz w:val="32"/>
          <w:szCs w:val="32"/>
          <w:lang w:val="zh-TW" w:eastAsia="zh-TW"/>
        </w:rPr>
        <w:t>审议本行有关绿色工作情况及绿色信贷工作计划，对绿色信贷相关工作进行</w:t>
      </w:r>
      <w:r>
        <w:rPr>
          <w:rFonts w:hint="eastAsia" w:ascii="仿宋" w:hAnsi="仿宋" w:eastAsia="仿宋" w:cs="方正清仿宋 简 Bold"/>
          <w:sz w:val="32"/>
          <w:szCs w:val="32"/>
          <w:lang w:val="zh-TW"/>
        </w:rPr>
        <w:t>安排</w:t>
      </w:r>
      <w:r>
        <w:rPr>
          <w:rFonts w:hint="eastAsia" w:ascii="仿宋" w:hAnsi="仿宋" w:eastAsia="仿宋" w:cs="方正清仿宋 简 Bold"/>
          <w:sz w:val="32"/>
          <w:szCs w:val="32"/>
          <w:lang w:val="zh-TW" w:eastAsia="zh-TW"/>
        </w:rPr>
        <w:t>部署</w:t>
      </w:r>
      <w:r>
        <w:rPr>
          <w:rFonts w:hint="eastAsia" w:ascii="仿宋" w:hAnsi="仿宋" w:eastAsia="仿宋" w:cs="方正清仿宋 简 Bold"/>
          <w:sz w:val="32"/>
          <w:szCs w:val="32"/>
          <w:lang w:val="zh-TW"/>
        </w:rPr>
        <w:t>，推动在全行树立并推行绿色发展理念，将绿色金融纳入中长期规划。</w:t>
      </w:r>
    </w:p>
    <w:p>
      <w:pPr>
        <w:pStyle w:val="19"/>
        <w:tabs>
          <w:tab w:val="left" w:pos="949"/>
        </w:tabs>
        <w:wordWrap/>
        <w:adjustRightInd/>
        <w:snapToGrid/>
        <w:spacing w:line="590" w:lineRule="exact"/>
        <w:ind w:left="0" w:leftChars="0" w:right="0" w:firstLine="640" w:firstLineChars="200"/>
        <w:jc w:val="both"/>
        <w:textAlignment w:val="auto"/>
        <w:rPr>
          <w:rFonts w:ascii="仿宋" w:hAnsi="仿宋" w:eastAsia="PMingLiU" w:cs="仿宋"/>
          <w:color w:val="auto"/>
          <w:sz w:val="32"/>
          <w:szCs w:val="32"/>
          <w:lang w:val="zh-TW" w:eastAsia="zh-TW"/>
        </w:rPr>
      </w:pPr>
      <w:r>
        <w:rPr>
          <w:rFonts w:hint="eastAsia" w:ascii="仿宋" w:hAnsi="仿宋" w:eastAsia="仿宋" w:cs="方正清仿宋 简 Bold"/>
          <w:sz w:val="32"/>
          <w:szCs w:val="32"/>
        </w:rPr>
        <w:t>管理层负责制定全行绿色金融发展目标、工作计划，并采取</w:t>
      </w:r>
      <w:r>
        <w:rPr>
          <w:rFonts w:ascii="仿宋" w:hAnsi="仿宋" w:eastAsia="仿宋" w:cs="方正清仿宋 简 Bold"/>
          <w:sz w:val="32"/>
          <w:szCs w:val="32"/>
        </w:rPr>
        <w:t>一系列措施确保</w:t>
      </w:r>
      <w:r>
        <w:rPr>
          <w:rFonts w:hint="eastAsia" w:ascii="仿宋" w:hAnsi="仿宋" w:eastAsia="仿宋" w:cs="方正清仿宋 简 Bold"/>
          <w:sz w:val="32"/>
          <w:szCs w:val="32"/>
        </w:rPr>
        <w:t>目标完成。作为四川第一家“赤道银行”，我行成立了专门的绿色信贷委员会，工作职责包括审议绿色信贷战略规划、绿色信贷政策、审查年度绿色信贷工作计划等</w:t>
      </w:r>
      <w:r>
        <w:rPr>
          <w:rFonts w:hint="eastAsia" w:ascii="仿宋" w:hAnsi="仿宋" w:eastAsia="仿宋" w:cs="方正清仿宋 简 Bold"/>
          <w:sz w:val="32"/>
          <w:szCs w:val="32"/>
          <w:lang w:eastAsia="zh-CN"/>
        </w:rPr>
        <w:t>；</w:t>
      </w:r>
      <w:r>
        <w:rPr>
          <w:rFonts w:hint="eastAsia" w:ascii="仿宋" w:hAnsi="仿宋" w:eastAsia="仿宋" w:cs="方正清仿宋 简 Bold"/>
          <w:sz w:val="32"/>
          <w:szCs w:val="32"/>
        </w:rPr>
        <w:t>在委员会下设绿色金融办公室，</w:t>
      </w:r>
      <w:r>
        <w:rPr>
          <w:rFonts w:hint="eastAsia" w:ascii="仿宋" w:hAnsi="仿宋" w:eastAsia="仿宋" w:cs="方正清仿宋 简 Bold"/>
          <w:sz w:val="32"/>
          <w:szCs w:val="32"/>
          <w:lang w:eastAsia="zh-CN"/>
        </w:rPr>
        <w:t>并</w:t>
      </w:r>
      <w:r>
        <w:rPr>
          <w:rFonts w:hint="eastAsia" w:ascii="仿宋" w:hAnsi="仿宋" w:eastAsia="仿宋" w:cs="方正清仿宋 简 Bold"/>
          <w:sz w:val="32"/>
          <w:szCs w:val="32"/>
        </w:rPr>
        <w:t>设立绿色金融工作岗，专人专岗负责绿色金融具体事务。同时，为提升绿色金融业务、环境相关风险等重大事项的决策效率和执行力，成立环境信息披露小组、“双碳”工作推进小组，组长、副组长均由行领导担任，相关部门为组员，在组长的组织下开展相关工作。</w:t>
      </w:r>
      <w:r>
        <w:rPr>
          <w:rFonts w:hint="eastAsia" w:ascii="仿宋" w:hAnsi="仿宋" w:eastAsia="仿宋" w:cs="方正清仿宋 简 Bold"/>
          <w:sz w:val="32"/>
          <w:szCs w:val="32"/>
          <w:lang w:eastAsia="zh-CN"/>
        </w:rPr>
        <w:t>总体来看</w:t>
      </w:r>
      <w:r>
        <w:rPr>
          <w:rFonts w:hint="eastAsia" w:ascii="仿宋" w:hAnsi="仿宋" w:eastAsia="仿宋" w:cs="方正清仿宋 简 Bold"/>
          <w:sz w:val="32"/>
          <w:szCs w:val="32"/>
        </w:rPr>
        <w:t>，我</w:t>
      </w:r>
      <w:r>
        <w:rPr>
          <w:rFonts w:ascii="仿宋" w:hAnsi="仿宋" w:eastAsia="仿宋" w:cs="方正清仿宋 简 Bold"/>
          <w:sz w:val="32"/>
          <w:szCs w:val="32"/>
        </w:rPr>
        <w:t>行绿色金融工作内部分工</w:t>
      </w:r>
      <w:r>
        <w:rPr>
          <w:rFonts w:hint="eastAsia" w:ascii="仿宋" w:hAnsi="仿宋" w:eastAsia="仿宋" w:cs="方正清仿宋 简 Bold"/>
          <w:sz w:val="32"/>
          <w:szCs w:val="32"/>
        </w:rPr>
        <w:t>明确，运作有序有效。</w:t>
      </w:r>
    </w:p>
    <w:p>
      <w:pPr>
        <w:widowControl w:val="0"/>
        <w:wordWrap/>
        <w:adjustRightInd/>
        <w:snapToGrid/>
        <w:spacing w:line="240" w:lineRule="auto"/>
        <w:ind w:right="0"/>
        <w:jc w:val="both"/>
        <w:textAlignment w:val="auto"/>
        <w:outlineLvl w:val="9"/>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pict>
          <v:shape id="_x0000_i1025" o:spt="75" type="#_x0000_t75" style="height:169.4pt;width:416.6pt;" fillcolor="#FFFFFF" filled="f" o:preferrelative="t" stroked="f" coordsize="21600,21600">
            <v:path/>
            <v:fill on="f" color2="#FFFFFF" focussize="0,0"/>
            <v:stroke on="f"/>
            <v:imagedata r:id="rId5" croptop="12405f" cropright="-340f" gain="65536f" blacklevel="0f" gamma="0" o:title=""/>
            <o:lock v:ext="edit" position="f" selection="f" grouping="f" rotation="f" cropping="f" text="f" aspectratio="t"/>
            <w10:wrap type="none"/>
            <w10:anchorlock/>
          </v:shape>
        </w:pict>
      </w:r>
    </w:p>
    <w:p>
      <w:pPr>
        <w:jc w:val="center"/>
        <w:rPr>
          <w:rFonts w:hint="default" w:ascii="宋体" w:hAnsi="宋体" w:eastAsia="宋体" w:cs="宋体"/>
          <w:sz w:val="28"/>
          <w:szCs w:val="28"/>
          <w:lang w:val="en-US"/>
        </w:rPr>
      </w:pPr>
      <w:r>
        <w:rPr>
          <w:rFonts w:hint="eastAsia" w:ascii="宋体" w:hAnsi="宋体" w:cs="宋体"/>
          <w:sz w:val="28"/>
          <w:szCs w:val="28"/>
          <w:lang w:val="en-US" w:eastAsia="zh-CN"/>
        </w:rPr>
        <w:t>图</w:t>
      </w:r>
      <w:r>
        <w:rPr>
          <w:rFonts w:hint="eastAsia" w:ascii="宋体" w:hAnsi="宋体" w:eastAsia="宋体" w:cs="宋体"/>
          <w:sz w:val="28"/>
          <w:szCs w:val="28"/>
        </w:rPr>
        <w:t>1： 本</w:t>
      </w:r>
      <w:r>
        <w:rPr>
          <w:rFonts w:hint="eastAsia" w:ascii="宋体" w:hAnsi="宋体" w:cs="宋体"/>
          <w:sz w:val="28"/>
          <w:szCs w:val="28"/>
          <w:lang w:eastAsia="zh-CN"/>
        </w:rPr>
        <w:t>行</w:t>
      </w:r>
      <w:r>
        <w:rPr>
          <w:rFonts w:hint="eastAsia" w:ascii="宋体" w:hAnsi="宋体" w:cs="宋体"/>
          <w:sz w:val="28"/>
          <w:szCs w:val="28"/>
          <w:lang w:val="en-US" w:eastAsia="zh-CN"/>
        </w:rPr>
        <w:t>成立</w:t>
      </w:r>
      <w:r>
        <w:rPr>
          <w:rFonts w:hint="eastAsia" w:ascii="宋体" w:hAnsi="宋体" w:eastAsia="宋体" w:cs="宋体"/>
          <w:sz w:val="28"/>
          <w:szCs w:val="28"/>
        </w:rPr>
        <w:t>绿色信贷委员会</w:t>
      </w:r>
    </w:p>
    <w:p>
      <w:pPr>
        <w:pStyle w:val="19"/>
        <w:tabs>
          <w:tab w:val="left" w:pos="949"/>
        </w:tabs>
        <w:wordWrap/>
        <w:adjustRightInd/>
        <w:snapToGrid/>
        <w:spacing w:line="590" w:lineRule="exact"/>
        <w:ind w:left="0" w:leftChars="0" w:right="0" w:firstLine="640" w:firstLineChars="200"/>
        <w:jc w:val="both"/>
        <w:textAlignment w:val="auto"/>
        <w:rPr>
          <w:rFonts w:hint="eastAsia" w:ascii="仿宋" w:hAnsi="仿宋" w:eastAsia="仿宋" w:cs="方正清仿宋 简 Bold"/>
          <w:sz w:val="32"/>
          <w:szCs w:val="32"/>
        </w:rPr>
      </w:pPr>
      <w:r>
        <w:rPr>
          <w:rFonts w:hint="eastAsia" w:ascii="仿宋" w:hAnsi="仿宋" w:eastAsia="仿宋" w:cs="方正清仿宋 简 Bold"/>
          <w:sz w:val="32"/>
          <w:szCs w:val="32"/>
        </w:rPr>
        <w:t>我行未设绿色</w:t>
      </w:r>
      <w:r>
        <w:rPr>
          <w:rFonts w:hint="eastAsia" w:ascii="仿宋" w:hAnsi="仿宋" w:eastAsia="仿宋" w:cs="方正清仿宋 简 Bold"/>
          <w:sz w:val="32"/>
          <w:szCs w:val="32"/>
          <w:lang w:eastAsia="zh-CN"/>
        </w:rPr>
        <w:t>金融</w:t>
      </w:r>
      <w:r>
        <w:rPr>
          <w:rFonts w:hint="eastAsia" w:ascii="仿宋" w:hAnsi="仿宋" w:eastAsia="仿宋" w:cs="方正清仿宋 简 Bold"/>
          <w:sz w:val="32"/>
          <w:szCs w:val="32"/>
        </w:rPr>
        <w:t>事业部，由信贷管理部牵头绿色金融业务发展，负责全行绿色信贷政策制定、客户准入、贷款审批等工作，并就专业领域内重大绿色信贷问题，制定应对措施，及时向高级管理层汇报。公司业务部、风险管理部、稽核监察部、</w:t>
      </w:r>
      <w:r>
        <w:rPr>
          <w:rFonts w:hint="eastAsia" w:ascii="仿宋" w:hAnsi="仿宋" w:eastAsia="仿宋" w:cs="方正清仿宋 简 Bold"/>
          <w:sz w:val="32"/>
          <w:szCs w:val="32"/>
          <w:lang w:eastAsia="zh-CN"/>
        </w:rPr>
        <w:t>普惠金融部</w:t>
      </w:r>
      <w:r>
        <w:rPr>
          <w:rFonts w:hint="eastAsia" w:ascii="仿宋" w:hAnsi="仿宋" w:eastAsia="仿宋" w:cs="方正清仿宋 简 Bold"/>
          <w:sz w:val="32"/>
          <w:szCs w:val="32"/>
        </w:rPr>
        <w:t>等相关业务部门在各自职责范围内按照本行战略方向推</w:t>
      </w:r>
      <w:r>
        <w:rPr>
          <w:rFonts w:hint="eastAsia" w:ascii="仿宋" w:hAnsi="仿宋" w:eastAsia="仿宋" w:cs="方正清仿宋 简 Bold"/>
          <w:sz w:val="32"/>
          <w:szCs w:val="32"/>
          <w:lang w:eastAsia="zh-CN"/>
        </w:rPr>
        <w:t>动</w:t>
      </w:r>
      <w:r>
        <w:rPr>
          <w:rFonts w:hint="eastAsia" w:ascii="仿宋" w:hAnsi="仿宋" w:eastAsia="仿宋" w:cs="方正清仿宋 简 Bold"/>
          <w:sz w:val="32"/>
          <w:szCs w:val="32"/>
        </w:rPr>
        <w:t>绿色信贷业务落到实处，并就相关重要事项和信息及时与牵头部门沟通。在全行统一风险偏好和政策资产配置指引下，差异化、精准化、动态化地开展绿色金融业务。</w:t>
      </w:r>
    </w:p>
    <w:p>
      <w:pPr>
        <w:pStyle w:val="19"/>
        <w:tabs>
          <w:tab w:val="left" w:pos="949"/>
        </w:tabs>
        <w:wordWrap/>
        <w:adjustRightInd/>
        <w:snapToGrid/>
        <w:spacing w:line="590" w:lineRule="exact"/>
        <w:ind w:left="0" w:leftChars="0" w:right="0" w:firstLine="640" w:firstLineChars="200"/>
        <w:jc w:val="both"/>
        <w:textAlignment w:val="auto"/>
        <w:rPr>
          <w:rFonts w:hint="eastAsia" w:ascii="仿宋" w:hAnsi="仿宋" w:eastAsia="仿宋" w:cs="方正清仿宋 简 Bold"/>
          <w:sz w:val="32"/>
          <w:szCs w:val="32"/>
        </w:rPr>
      </w:pPr>
      <w:r>
        <w:rPr>
          <w:rFonts w:hint="eastAsia" w:ascii="仿宋" w:hAnsi="仿宋" w:eastAsia="仿宋" w:cs="方正清仿宋 简 Bold"/>
          <w:sz w:val="32"/>
          <w:szCs w:val="32"/>
        </w:rPr>
        <w:t>我行未设绿色</w:t>
      </w:r>
      <w:r>
        <w:rPr>
          <w:rFonts w:hint="eastAsia" w:ascii="仿宋" w:hAnsi="仿宋" w:eastAsia="仿宋" w:cs="方正清仿宋 简 Bold"/>
          <w:sz w:val="32"/>
          <w:szCs w:val="32"/>
          <w:lang w:eastAsia="zh-CN"/>
        </w:rPr>
        <w:t>金融</w:t>
      </w:r>
      <w:r>
        <w:rPr>
          <w:rFonts w:hint="eastAsia" w:ascii="仿宋" w:hAnsi="仿宋" w:eastAsia="仿宋" w:cs="方正清仿宋 简 Bold"/>
          <w:sz w:val="32"/>
          <w:szCs w:val="32"/>
        </w:rPr>
        <w:t>专营支行。我行将积极探索绿色</w:t>
      </w:r>
      <w:r>
        <w:rPr>
          <w:rFonts w:hint="eastAsia" w:ascii="仿宋" w:hAnsi="仿宋" w:eastAsia="仿宋" w:cs="方正清仿宋 简 Bold"/>
          <w:sz w:val="32"/>
          <w:szCs w:val="32"/>
          <w:lang w:eastAsia="zh-CN"/>
        </w:rPr>
        <w:t>金融示范支</w:t>
      </w:r>
      <w:r>
        <w:rPr>
          <w:rFonts w:hint="eastAsia" w:ascii="仿宋" w:hAnsi="仿宋" w:eastAsia="仿宋" w:cs="方正清仿宋 简 Bold"/>
          <w:sz w:val="32"/>
          <w:szCs w:val="32"/>
        </w:rPr>
        <w:t>行建设路径，学习绿色支行建设模式和经验，推动绿色金融特色支行队伍壮大</w:t>
      </w:r>
      <w:r>
        <w:rPr>
          <w:rFonts w:hint="eastAsia" w:ascii="仿宋" w:hAnsi="仿宋" w:eastAsia="仿宋" w:cs="方正清仿宋 简 Bold"/>
          <w:sz w:val="32"/>
          <w:szCs w:val="32"/>
          <w:lang w:eastAsia="zh-CN"/>
        </w:rPr>
        <w:t>。</w:t>
      </w:r>
    </w:p>
    <w:p>
      <w:pPr>
        <w:widowControl w:val="0"/>
        <w:wordWrap/>
        <w:adjustRightInd/>
        <w:snapToGrid/>
        <w:spacing w:line="240" w:lineRule="auto"/>
        <w:ind w:right="0"/>
        <w:jc w:val="both"/>
        <w:textAlignment w:val="auto"/>
        <w:outlineLvl w:val="9"/>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pict>
          <v:shape id="ECB019B1-382A-4266-B25C-5B523AA43C14-1" o:spid="ECB019B1-382A-4266-B25C-5B523AA43C14-1" o:spt="75" alt="wps" type="#_x0000_t75" style="height:402.7pt;width:442.1pt;" filled="f" o:preferrelative="t" stroked="f" coordsize="21600,21600">
            <v:path/>
            <v:fill on="f" focussize="0,0"/>
            <v:stroke on="f"/>
            <v:imagedata r:id="rId6" o:title="wps"/>
            <o:lock v:ext="edit" aspectratio="t"/>
            <w10:wrap type="none"/>
            <w10:anchorlock/>
          </v:shape>
        </w:pict>
      </w:r>
    </w:p>
    <w:p>
      <w:pPr>
        <w:jc w:val="center"/>
        <w:rPr>
          <w:rFonts w:hint="eastAsia" w:ascii="仿宋" w:hAnsi="仿宋" w:eastAsia="仿宋" w:cs="方正清仿宋 简 Bold"/>
          <w:sz w:val="32"/>
          <w:szCs w:val="32"/>
          <w:lang w:val="en-US" w:eastAsia="zh-CN"/>
        </w:rPr>
      </w:pPr>
      <w:r>
        <w:rPr>
          <w:rFonts w:hint="eastAsia" w:ascii="宋体" w:hAnsi="宋体" w:cs="宋体"/>
          <w:sz w:val="28"/>
          <w:szCs w:val="28"/>
          <w:lang w:val="en-US" w:eastAsia="zh-CN"/>
        </w:rPr>
        <w:t>图2</w:t>
      </w:r>
      <w:r>
        <w:rPr>
          <w:rFonts w:hint="eastAsia" w:ascii="宋体" w:hAnsi="宋体" w:eastAsia="宋体" w:cs="宋体"/>
          <w:sz w:val="28"/>
          <w:szCs w:val="28"/>
        </w:rPr>
        <w:t>： 本</w:t>
      </w:r>
      <w:r>
        <w:rPr>
          <w:rFonts w:hint="eastAsia" w:ascii="宋体" w:hAnsi="宋体" w:cs="宋体"/>
          <w:sz w:val="28"/>
          <w:szCs w:val="28"/>
          <w:lang w:val="en-US" w:eastAsia="zh-CN"/>
        </w:rPr>
        <w:t>行与环境相关的公司治理结构</w:t>
      </w:r>
    </w:p>
    <w:p>
      <w:pPr>
        <w:wordWrap/>
        <w:adjustRightInd/>
        <w:snapToGrid/>
        <w:spacing w:line="590" w:lineRule="exact"/>
        <w:ind w:right="0" w:firstLine="640" w:firstLineChars="200"/>
        <w:jc w:val="both"/>
        <w:textAlignment w:val="auto"/>
        <w:rPr>
          <w:rFonts w:ascii="黑体" w:hAnsi="黑体" w:eastAsia="黑体" w:cs="仿宋"/>
          <w:sz w:val="32"/>
          <w:szCs w:val="32"/>
        </w:rPr>
      </w:pPr>
      <w:bookmarkStart w:id="9" w:name="_Toc12936"/>
      <w:bookmarkStart w:id="10" w:name="_Toc293"/>
      <w:r>
        <w:rPr>
          <w:rFonts w:hint="eastAsia" w:ascii="黑体" w:hAnsi="黑体" w:eastAsia="黑体" w:cs="仿宋"/>
          <w:sz w:val="32"/>
          <w:szCs w:val="32"/>
          <w:lang w:eastAsia="zh-CN"/>
        </w:rPr>
        <w:t>三</w:t>
      </w:r>
      <w:r>
        <w:rPr>
          <w:rFonts w:hint="eastAsia" w:ascii="黑体" w:hAnsi="黑体" w:eastAsia="黑体" w:cs="仿宋"/>
          <w:sz w:val="32"/>
          <w:szCs w:val="32"/>
        </w:rPr>
        <w:t>、环境相关政策</w:t>
      </w:r>
      <w:bookmarkEnd w:id="9"/>
      <w:r>
        <w:rPr>
          <w:rFonts w:hint="eastAsia" w:ascii="黑体" w:hAnsi="黑体" w:eastAsia="黑体" w:cs="仿宋"/>
          <w:sz w:val="32"/>
          <w:szCs w:val="32"/>
          <w:lang w:eastAsia="zh-CN"/>
        </w:rPr>
        <w:t>制度</w:t>
      </w:r>
      <w:bookmarkEnd w:id="10"/>
    </w:p>
    <w:p>
      <w:pPr>
        <w:pStyle w:val="9"/>
        <w:wordWrap/>
        <w:adjustRightInd/>
        <w:snapToGrid/>
        <w:spacing w:before="0" w:beforeAutospacing="0" w:after="0" w:afterAutospacing="0" w:line="590" w:lineRule="exact"/>
        <w:ind w:left="0" w:leftChars="0" w:right="0" w:firstLine="640" w:firstLineChars="200"/>
        <w:jc w:val="both"/>
        <w:textAlignment w:val="auto"/>
        <w:rPr>
          <w:rFonts w:ascii="仿宋" w:hAnsi="仿宋" w:eastAsia="仿宋" w:cs="仿宋"/>
          <w:sz w:val="32"/>
          <w:szCs w:val="32"/>
          <w:lang w:val="zh-TW" w:eastAsia="zh-TW"/>
        </w:rPr>
      </w:pPr>
      <w:r>
        <w:rPr>
          <w:rFonts w:hint="eastAsia" w:ascii="仿宋" w:hAnsi="仿宋" w:eastAsia="仿宋" w:cs="仿宋"/>
          <w:sz w:val="32"/>
          <w:szCs w:val="32"/>
          <w:lang w:val="zh-TW" w:eastAsia="zh-CN"/>
        </w:rPr>
        <w:t>截至</w:t>
      </w:r>
      <w:r>
        <w:rPr>
          <w:rFonts w:hint="eastAsia" w:ascii="仿宋" w:hAnsi="仿宋" w:eastAsia="仿宋" w:cs="仿宋"/>
          <w:sz w:val="32"/>
          <w:szCs w:val="32"/>
          <w:lang w:val="en-US" w:eastAsia="zh-CN"/>
        </w:rPr>
        <w:t>2020年末，</w:t>
      </w:r>
      <w:r>
        <w:rPr>
          <w:rFonts w:hint="eastAsia" w:ascii="仿宋" w:hAnsi="仿宋" w:eastAsia="仿宋" w:cs="仿宋"/>
          <w:sz w:val="32"/>
          <w:szCs w:val="32"/>
          <w:lang w:val="zh-TW"/>
        </w:rPr>
        <w:t>我行</w:t>
      </w:r>
      <w:r>
        <w:rPr>
          <w:rFonts w:hint="eastAsia" w:ascii="仿宋" w:hAnsi="仿宋" w:eastAsia="仿宋" w:cs="仿宋"/>
          <w:sz w:val="32"/>
          <w:szCs w:val="32"/>
          <w:lang w:val="en-US" w:eastAsia="zh-CN"/>
        </w:rPr>
        <w:t>共</w:t>
      </w:r>
      <w:r>
        <w:rPr>
          <w:rFonts w:hint="eastAsia" w:ascii="仿宋" w:hAnsi="仿宋" w:eastAsia="仿宋" w:cs="仿宋"/>
          <w:sz w:val="32"/>
          <w:szCs w:val="32"/>
          <w:lang w:val="zh-TW"/>
        </w:rPr>
        <w:t>制定三项与环境相关的</w:t>
      </w:r>
      <w:r>
        <w:rPr>
          <w:rFonts w:hint="eastAsia" w:ascii="仿宋" w:hAnsi="仿宋" w:eastAsia="仿宋" w:cs="仿宋"/>
          <w:sz w:val="32"/>
          <w:szCs w:val="32"/>
          <w:lang w:val="zh-TW" w:eastAsia="zh-CN"/>
        </w:rPr>
        <w:t>内部管理</w:t>
      </w:r>
      <w:r>
        <w:rPr>
          <w:rFonts w:hint="eastAsia" w:ascii="仿宋" w:hAnsi="仿宋" w:eastAsia="仿宋" w:cs="仿宋"/>
          <w:sz w:val="32"/>
          <w:szCs w:val="32"/>
          <w:lang w:val="zh-TW"/>
        </w:rPr>
        <w:t>制度，分别为</w:t>
      </w:r>
      <w:r>
        <w:rPr>
          <w:rFonts w:hint="eastAsia" w:ascii="仿宋" w:hAnsi="仿宋" w:eastAsia="仿宋" w:cs="仿宋"/>
          <w:sz w:val="32"/>
          <w:szCs w:val="32"/>
          <w:lang w:val="zh-TW" w:eastAsia="zh-CN"/>
        </w:rPr>
        <w:t>《</w:t>
      </w:r>
      <w:r>
        <w:rPr>
          <w:rFonts w:hint="eastAsia" w:ascii="仿宋" w:hAnsi="仿宋" w:eastAsia="仿宋" w:cs="仿宋"/>
          <w:sz w:val="32"/>
          <w:szCs w:val="32"/>
          <w:lang w:val="zh-TW"/>
        </w:rPr>
        <w:t>绵阳市商业银行股份有限公司绿色信贷业务管理办法</w:t>
      </w:r>
      <w:r>
        <w:rPr>
          <w:rFonts w:hint="eastAsia" w:ascii="仿宋" w:hAnsi="仿宋" w:eastAsia="仿宋" w:cs="仿宋"/>
          <w:sz w:val="32"/>
          <w:szCs w:val="32"/>
          <w:lang w:val="zh-TW" w:eastAsia="zh-CN"/>
        </w:rPr>
        <w:t>》（</w:t>
      </w:r>
      <w:r>
        <w:rPr>
          <w:rFonts w:hint="eastAsia" w:ascii="仿宋" w:hAnsi="仿宋" w:eastAsia="仿宋" w:cs="仿宋"/>
          <w:sz w:val="32"/>
          <w:szCs w:val="32"/>
          <w:lang w:val="zh-TW"/>
        </w:rPr>
        <w:t>绵商银发〔2019〕353号</w:t>
      </w:r>
      <w:r>
        <w:rPr>
          <w:rFonts w:hint="eastAsia" w:ascii="仿宋" w:hAnsi="仿宋" w:eastAsia="仿宋" w:cs="仿宋"/>
          <w:sz w:val="32"/>
          <w:szCs w:val="32"/>
          <w:lang w:val="zh-TW" w:eastAsia="zh-CN"/>
        </w:rPr>
        <w:t>）、</w:t>
      </w:r>
      <w:r>
        <w:rPr>
          <w:rFonts w:hint="eastAsia" w:ascii="仿宋" w:hAnsi="仿宋" w:eastAsia="仿宋" w:cs="仿宋"/>
          <w:sz w:val="32"/>
          <w:szCs w:val="32"/>
          <w:lang w:val="zh-TW"/>
        </w:rPr>
        <w:t>《绵阳市商业银行股份有限公司关于设立绿色信贷委员会的通知》(绵商</w:t>
      </w:r>
      <w:r>
        <w:rPr>
          <w:rFonts w:ascii="仿宋" w:hAnsi="仿宋" w:eastAsia="仿宋" w:cs="仿宋"/>
          <w:sz w:val="32"/>
          <w:szCs w:val="32"/>
          <w:lang w:val="zh-TW"/>
        </w:rPr>
        <w:t>银发〔</w:t>
      </w:r>
      <w:r>
        <w:rPr>
          <w:rFonts w:hint="eastAsia" w:ascii="仿宋" w:hAnsi="仿宋" w:eastAsia="仿宋" w:cs="仿宋"/>
          <w:sz w:val="32"/>
          <w:szCs w:val="32"/>
          <w:lang w:val="zh-TW"/>
        </w:rPr>
        <w:t>2020</w:t>
      </w:r>
      <w:r>
        <w:rPr>
          <w:rFonts w:ascii="仿宋" w:hAnsi="仿宋" w:eastAsia="仿宋" w:cs="仿宋"/>
          <w:sz w:val="32"/>
          <w:szCs w:val="32"/>
          <w:lang w:val="zh-TW"/>
        </w:rPr>
        <w:t>〕</w:t>
      </w:r>
      <w:r>
        <w:rPr>
          <w:rFonts w:ascii="仿宋" w:hAnsi="仿宋" w:eastAsia="仿宋" w:cs="仿宋"/>
          <w:sz w:val="32"/>
          <w:szCs w:val="32"/>
          <w:lang w:val="zh-TW" w:eastAsia="zh-TW"/>
        </w:rPr>
        <w:t>75</w:t>
      </w:r>
      <w:r>
        <w:rPr>
          <w:rFonts w:ascii="仿宋" w:hAnsi="仿宋" w:eastAsia="仿宋" w:cs="仿宋"/>
          <w:sz w:val="32"/>
          <w:szCs w:val="32"/>
          <w:lang w:val="zh-TW"/>
        </w:rPr>
        <w:t>号</w:t>
      </w:r>
      <w:r>
        <w:rPr>
          <w:rFonts w:hint="eastAsia" w:ascii="仿宋" w:hAnsi="仿宋" w:eastAsia="仿宋" w:cs="仿宋"/>
          <w:sz w:val="32"/>
          <w:szCs w:val="32"/>
          <w:lang w:val="zh-TW"/>
        </w:rPr>
        <w:t>)</w:t>
      </w:r>
      <w:r>
        <w:rPr>
          <w:rFonts w:hint="eastAsia" w:ascii="仿宋" w:hAnsi="仿宋" w:eastAsia="仿宋" w:cs="仿宋"/>
          <w:sz w:val="32"/>
          <w:szCs w:val="32"/>
          <w:lang w:val="zh-TW" w:eastAsia="zh-CN"/>
        </w:rPr>
        <w:t>、</w:t>
      </w:r>
      <w:r>
        <w:rPr>
          <w:rFonts w:hint="eastAsia" w:ascii="仿宋" w:hAnsi="仿宋" w:eastAsia="仿宋" w:cs="仿宋"/>
          <w:sz w:val="32"/>
          <w:szCs w:val="32"/>
          <w:lang w:val="zh-TW"/>
        </w:rPr>
        <w:t>《绵阳市商业银行股份有限公司2020年授信政策指引》(绵商</w:t>
      </w:r>
      <w:r>
        <w:rPr>
          <w:rFonts w:ascii="仿宋" w:hAnsi="仿宋" w:eastAsia="仿宋" w:cs="仿宋"/>
          <w:sz w:val="32"/>
          <w:szCs w:val="32"/>
          <w:lang w:val="zh-TW"/>
        </w:rPr>
        <w:t>银发〔</w:t>
      </w:r>
      <w:r>
        <w:rPr>
          <w:rFonts w:hint="eastAsia" w:ascii="仿宋" w:hAnsi="仿宋" w:eastAsia="仿宋" w:cs="仿宋"/>
          <w:sz w:val="32"/>
          <w:szCs w:val="32"/>
          <w:lang w:val="zh-TW"/>
        </w:rPr>
        <w:t>2020</w:t>
      </w:r>
      <w:r>
        <w:rPr>
          <w:rFonts w:ascii="仿宋" w:hAnsi="仿宋" w:eastAsia="仿宋" w:cs="仿宋"/>
          <w:sz w:val="32"/>
          <w:szCs w:val="32"/>
          <w:lang w:val="zh-TW"/>
        </w:rPr>
        <w:t>〕</w:t>
      </w:r>
      <w:r>
        <w:rPr>
          <w:rFonts w:hint="eastAsia" w:ascii="仿宋" w:hAnsi="仿宋" w:eastAsia="仿宋" w:cs="仿宋"/>
          <w:sz w:val="32"/>
          <w:szCs w:val="32"/>
          <w:lang w:val="zh-TW"/>
        </w:rPr>
        <w:t>82</w:t>
      </w:r>
      <w:r>
        <w:rPr>
          <w:rFonts w:ascii="仿宋" w:hAnsi="仿宋" w:eastAsia="仿宋" w:cs="仿宋"/>
          <w:sz w:val="32"/>
          <w:szCs w:val="32"/>
          <w:lang w:val="zh-TW"/>
        </w:rPr>
        <w:t>号</w:t>
      </w:r>
      <w:r>
        <w:rPr>
          <w:rFonts w:hint="eastAsia" w:ascii="仿宋" w:hAnsi="仿宋" w:eastAsia="仿宋" w:cs="仿宋"/>
          <w:sz w:val="32"/>
          <w:szCs w:val="32"/>
          <w:lang w:val="zh-TW"/>
        </w:rPr>
        <w:t>)</w:t>
      </w:r>
      <w:r>
        <w:rPr>
          <w:rFonts w:hint="eastAsia" w:ascii="仿宋" w:hAnsi="仿宋" w:eastAsia="仿宋" w:cs="仿宋"/>
          <w:sz w:val="32"/>
          <w:szCs w:val="32"/>
          <w:lang w:val="zh-TW" w:eastAsia="zh-CN"/>
        </w:rPr>
        <w:t>。</w:t>
      </w:r>
      <w:r>
        <w:rPr>
          <w:rFonts w:hint="eastAsia" w:ascii="仿宋" w:hAnsi="仿宋" w:eastAsia="仿宋" w:cs="仿宋"/>
          <w:sz w:val="32"/>
          <w:szCs w:val="32"/>
          <w:lang w:val="zh-TW"/>
        </w:rPr>
        <w:t>具体见表</w:t>
      </w:r>
      <w:r>
        <w:rPr>
          <w:rFonts w:hint="eastAsia" w:ascii="仿宋" w:hAnsi="仿宋" w:eastAsia="仿宋" w:cs="仿宋"/>
          <w:sz w:val="32"/>
          <w:szCs w:val="32"/>
        </w:rPr>
        <w:t>2</w:t>
      </w:r>
      <w:r>
        <w:rPr>
          <w:rFonts w:hint="eastAsia" w:ascii="仿宋" w:hAnsi="仿宋" w:eastAsia="仿宋" w:cs="仿宋"/>
          <w:sz w:val="32"/>
          <w:szCs w:val="32"/>
          <w:lang w:val="zh-TW" w:eastAsia="zh-TW"/>
        </w:rPr>
        <w:t>。</w:t>
      </w:r>
    </w:p>
    <w:p>
      <w:pPr>
        <w:jc w:val="center"/>
        <w:rPr>
          <w:rFonts w:hint="eastAsia" w:ascii="宋体" w:hAnsi="宋体" w:eastAsia="宋体" w:cs="宋体"/>
          <w:sz w:val="28"/>
          <w:szCs w:val="28"/>
          <w:lang w:val="zh-TW"/>
        </w:rPr>
      </w:pPr>
      <w:r>
        <w:rPr>
          <w:rFonts w:hint="eastAsia" w:ascii="宋体" w:hAnsi="宋体" w:eastAsia="宋体" w:cs="宋体"/>
          <w:sz w:val="28"/>
          <w:szCs w:val="28"/>
          <w:lang w:val="zh-TW" w:eastAsia="zh-TW"/>
        </w:rPr>
        <w:t>表</w:t>
      </w:r>
      <w:r>
        <w:rPr>
          <w:rFonts w:hint="eastAsia" w:ascii="宋体" w:hAnsi="宋体" w:cs="宋体"/>
          <w:sz w:val="28"/>
          <w:szCs w:val="28"/>
          <w:lang w:val="en-US" w:eastAsia="zh-CN"/>
        </w:rPr>
        <w:t>2</w:t>
      </w:r>
      <w:r>
        <w:rPr>
          <w:rFonts w:hint="eastAsia" w:ascii="宋体" w:hAnsi="宋体" w:eastAsia="宋体" w:cs="宋体"/>
          <w:sz w:val="28"/>
          <w:szCs w:val="28"/>
          <w:lang w:eastAsia="zh-CN"/>
        </w:rPr>
        <w:t>：</w:t>
      </w:r>
      <w:r>
        <w:rPr>
          <w:rFonts w:hint="eastAsia" w:ascii="宋体" w:hAnsi="宋体" w:cs="宋体"/>
          <w:sz w:val="28"/>
          <w:szCs w:val="28"/>
          <w:lang w:val="zh-TW" w:eastAsia="zh-CN"/>
        </w:rPr>
        <w:t>本行</w:t>
      </w:r>
      <w:r>
        <w:rPr>
          <w:rFonts w:hint="eastAsia" w:ascii="宋体" w:hAnsi="宋体" w:eastAsia="宋体" w:cs="宋体"/>
          <w:sz w:val="28"/>
          <w:szCs w:val="28"/>
          <w:lang w:val="zh-TW"/>
        </w:rPr>
        <w:t>环境政策制度情况表</w:t>
      </w:r>
    </w:p>
    <w:tbl>
      <w:tblPr>
        <w:tblStyle w:val="11"/>
        <w:tblW w:w="8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386"/>
        <w:gridCol w:w="1819"/>
        <w:gridCol w:w="1058"/>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3386" w:type="dxa"/>
            <w:shd w:val="clear" w:color="auto" w:fill="455F51"/>
            <w:vAlign w:val="center"/>
          </w:tcPr>
          <w:p>
            <w:pPr>
              <w:pStyle w:val="19"/>
              <w:tabs>
                <w:tab w:val="left" w:pos="949"/>
              </w:tabs>
              <w:spacing w:line="240" w:lineRule="atLeast"/>
              <w:jc w:val="center"/>
              <w:rPr>
                <w:rFonts w:hint="eastAsia" w:ascii="宋体" w:hAnsi="宋体" w:eastAsia="宋体" w:cs="宋体"/>
                <w:b/>
                <w:bCs/>
                <w:color w:val="FFFFFF"/>
                <w:kern w:val="0"/>
                <w:sz w:val="24"/>
                <w:szCs w:val="24"/>
                <w:lang w:val="zh-TW"/>
              </w:rPr>
            </w:pPr>
            <w:r>
              <w:rPr>
                <w:rFonts w:hint="eastAsia" w:ascii="宋体" w:hAnsi="宋体" w:eastAsia="宋体" w:cs="宋体"/>
                <w:b/>
                <w:bCs/>
                <w:color w:val="FFFFFF"/>
                <w:kern w:val="0"/>
                <w:sz w:val="24"/>
                <w:szCs w:val="24"/>
                <w:lang w:val="zh-TW"/>
              </w:rPr>
              <w:t>文件名称</w:t>
            </w:r>
          </w:p>
        </w:tc>
        <w:tc>
          <w:tcPr>
            <w:tcW w:w="1819" w:type="dxa"/>
            <w:shd w:val="clear" w:color="auto" w:fill="455F51"/>
            <w:vAlign w:val="center"/>
          </w:tcPr>
          <w:p>
            <w:pPr>
              <w:pStyle w:val="19"/>
              <w:tabs>
                <w:tab w:val="left" w:pos="949"/>
              </w:tabs>
              <w:spacing w:line="240" w:lineRule="atLeast"/>
              <w:jc w:val="center"/>
              <w:rPr>
                <w:rFonts w:hint="eastAsia" w:ascii="宋体" w:hAnsi="宋体" w:eastAsia="宋体" w:cs="宋体"/>
                <w:b/>
                <w:bCs/>
                <w:color w:val="FFFFFF"/>
                <w:kern w:val="0"/>
                <w:sz w:val="24"/>
                <w:szCs w:val="24"/>
                <w:lang w:val="zh-TW"/>
              </w:rPr>
            </w:pPr>
            <w:r>
              <w:rPr>
                <w:rFonts w:hint="eastAsia" w:ascii="宋体" w:hAnsi="宋体" w:eastAsia="宋体" w:cs="宋体"/>
                <w:b/>
                <w:bCs/>
                <w:color w:val="FFFFFF"/>
                <w:kern w:val="0"/>
                <w:sz w:val="24"/>
                <w:szCs w:val="24"/>
                <w:lang w:val="zh-TW"/>
              </w:rPr>
              <w:t>发文字号</w:t>
            </w:r>
          </w:p>
        </w:tc>
        <w:tc>
          <w:tcPr>
            <w:tcW w:w="1058" w:type="dxa"/>
            <w:shd w:val="clear" w:color="auto" w:fill="455F51"/>
            <w:vAlign w:val="center"/>
          </w:tcPr>
          <w:p>
            <w:pPr>
              <w:pStyle w:val="19"/>
              <w:tabs>
                <w:tab w:val="left" w:pos="949"/>
              </w:tabs>
              <w:spacing w:line="240" w:lineRule="atLeast"/>
              <w:jc w:val="center"/>
              <w:rPr>
                <w:rFonts w:hint="eastAsia" w:ascii="宋体" w:hAnsi="宋体" w:eastAsia="宋体" w:cs="宋体"/>
                <w:b/>
                <w:bCs/>
                <w:color w:val="FFFFFF"/>
                <w:kern w:val="0"/>
                <w:sz w:val="24"/>
                <w:szCs w:val="24"/>
                <w:lang w:val="zh-TW"/>
              </w:rPr>
            </w:pPr>
            <w:r>
              <w:rPr>
                <w:rFonts w:hint="eastAsia" w:ascii="宋体" w:hAnsi="宋体" w:eastAsia="宋体" w:cs="宋体"/>
                <w:b/>
                <w:bCs/>
                <w:color w:val="FFFFFF"/>
                <w:kern w:val="0"/>
                <w:sz w:val="24"/>
                <w:szCs w:val="24"/>
                <w:lang w:val="zh-TW"/>
              </w:rPr>
              <w:t>文件类型</w:t>
            </w:r>
          </w:p>
        </w:tc>
        <w:tc>
          <w:tcPr>
            <w:tcW w:w="2475" w:type="dxa"/>
            <w:shd w:val="clear" w:color="auto" w:fill="455F51"/>
            <w:vAlign w:val="center"/>
          </w:tcPr>
          <w:p>
            <w:pPr>
              <w:pStyle w:val="19"/>
              <w:tabs>
                <w:tab w:val="left" w:pos="949"/>
              </w:tabs>
              <w:spacing w:line="240" w:lineRule="atLeast"/>
              <w:jc w:val="center"/>
              <w:rPr>
                <w:rFonts w:hint="eastAsia" w:ascii="宋体" w:hAnsi="宋体" w:eastAsia="宋体" w:cs="宋体"/>
                <w:b/>
                <w:bCs/>
                <w:color w:val="FFFFFF"/>
                <w:kern w:val="0"/>
                <w:sz w:val="24"/>
                <w:szCs w:val="24"/>
                <w:lang w:val="zh-TW"/>
              </w:rPr>
            </w:pPr>
            <w:r>
              <w:rPr>
                <w:rFonts w:hint="eastAsia" w:ascii="宋体" w:hAnsi="宋体" w:eastAsia="宋体" w:cs="宋体"/>
                <w:b/>
                <w:bCs/>
                <w:color w:val="FFFFFF"/>
                <w:kern w:val="0"/>
                <w:sz w:val="24"/>
                <w:szCs w:val="24"/>
                <w:lang w:val="zh-TW"/>
              </w:rPr>
              <w:t>文件主要内容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9" w:hRule="atLeast"/>
          <w:jc w:val="center"/>
        </w:trPr>
        <w:tc>
          <w:tcPr>
            <w:tcW w:w="3386" w:type="dxa"/>
            <w:shd w:val="clear" w:color="auto" w:fill="DBEEF3"/>
            <w:vAlign w:val="center"/>
          </w:tcPr>
          <w:p>
            <w:pPr>
              <w:pStyle w:val="19"/>
              <w:tabs>
                <w:tab w:val="left" w:pos="949"/>
              </w:tabs>
              <w:spacing w:line="240" w:lineRule="atLeast"/>
              <w:jc w:val="center"/>
              <w:rPr>
                <w:rFonts w:hint="eastAsia" w:ascii="宋体" w:hAnsi="宋体" w:eastAsia="宋体" w:cs="宋体"/>
                <w:color w:val="auto"/>
                <w:kern w:val="0"/>
                <w:sz w:val="24"/>
                <w:szCs w:val="24"/>
                <w:lang w:val="zh-TW"/>
              </w:rPr>
            </w:pPr>
            <w:r>
              <w:rPr>
                <w:rFonts w:hint="eastAsia" w:ascii="宋体" w:hAnsi="宋体" w:eastAsia="宋体" w:cs="宋体"/>
                <w:color w:val="auto"/>
                <w:kern w:val="0"/>
                <w:sz w:val="24"/>
                <w:szCs w:val="24"/>
                <w:lang w:val="zh-TW"/>
              </w:rPr>
              <w:t>关于印发《绵阳市商业银行股份有限公司2020年授信政策指引》的通知</w:t>
            </w:r>
          </w:p>
        </w:tc>
        <w:tc>
          <w:tcPr>
            <w:tcW w:w="1819" w:type="dxa"/>
            <w:shd w:val="clear" w:color="auto" w:fill="DBEEF3"/>
            <w:vAlign w:val="center"/>
          </w:tcPr>
          <w:p>
            <w:pPr>
              <w:pStyle w:val="19"/>
              <w:tabs>
                <w:tab w:val="left" w:pos="949"/>
              </w:tabs>
              <w:spacing w:line="240" w:lineRule="atLeast"/>
              <w:jc w:val="center"/>
              <w:rPr>
                <w:rFonts w:hint="eastAsia" w:ascii="宋体" w:hAnsi="宋体" w:eastAsia="宋体" w:cs="宋体"/>
                <w:color w:val="auto"/>
                <w:kern w:val="0"/>
                <w:sz w:val="24"/>
                <w:szCs w:val="24"/>
                <w:lang w:val="zh-TW"/>
              </w:rPr>
            </w:pPr>
            <w:r>
              <w:rPr>
                <w:rFonts w:hint="eastAsia" w:ascii="宋体" w:hAnsi="宋体" w:eastAsia="宋体" w:cs="宋体"/>
                <w:color w:val="auto"/>
                <w:kern w:val="0"/>
                <w:sz w:val="24"/>
                <w:szCs w:val="24"/>
                <w:lang w:val="zh-TW"/>
              </w:rPr>
              <w:t>绵商银发〔2020〕82号</w:t>
            </w:r>
          </w:p>
        </w:tc>
        <w:tc>
          <w:tcPr>
            <w:tcW w:w="1058" w:type="dxa"/>
            <w:shd w:val="clear" w:color="auto" w:fill="DBEEF3"/>
            <w:vAlign w:val="center"/>
          </w:tcPr>
          <w:p>
            <w:pPr>
              <w:pStyle w:val="19"/>
              <w:tabs>
                <w:tab w:val="left" w:pos="949"/>
              </w:tabs>
              <w:spacing w:line="240" w:lineRule="atLeast"/>
              <w:jc w:val="center"/>
              <w:rPr>
                <w:rFonts w:hint="eastAsia" w:ascii="宋体" w:hAnsi="宋体" w:eastAsia="宋体" w:cs="宋体"/>
                <w:color w:val="auto"/>
                <w:kern w:val="0"/>
                <w:sz w:val="24"/>
                <w:szCs w:val="24"/>
                <w:lang w:val="zh-TW"/>
              </w:rPr>
            </w:pPr>
            <w:r>
              <w:rPr>
                <w:rFonts w:hint="eastAsia" w:ascii="宋体" w:hAnsi="宋体" w:eastAsia="宋体" w:cs="宋体"/>
                <w:color w:val="auto"/>
                <w:kern w:val="0"/>
                <w:sz w:val="24"/>
                <w:szCs w:val="24"/>
                <w:lang w:val="zh-TW"/>
              </w:rPr>
              <w:t>当年修订</w:t>
            </w:r>
          </w:p>
        </w:tc>
        <w:tc>
          <w:tcPr>
            <w:tcW w:w="2475" w:type="dxa"/>
            <w:shd w:val="clear" w:color="auto" w:fill="DBEEF3"/>
            <w:vAlign w:val="center"/>
          </w:tcPr>
          <w:p>
            <w:pPr>
              <w:pStyle w:val="19"/>
              <w:tabs>
                <w:tab w:val="left" w:pos="949"/>
              </w:tabs>
              <w:spacing w:line="240" w:lineRule="atLeast"/>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将绿色信贷导向纳入</w:t>
            </w:r>
            <w:r>
              <w:rPr>
                <w:rFonts w:hint="eastAsia" w:ascii="宋体" w:hAnsi="宋体" w:eastAsia="宋体" w:cs="宋体"/>
                <w:color w:val="auto"/>
                <w:kern w:val="0"/>
                <w:sz w:val="24"/>
                <w:szCs w:val="24"/>
                <w:lang w:val="zh-TW"/>
              </w:rPr>
              <w:t>2020年授信政策</w:t>
            </w:r>
            <w:r>
              <w:rPr>
                <w:rFonts w:hint="eastAsia" w:ascii="宋体" w:hAnsi="宋体" w:eastAsia="宋体" w:cs="宋体"/>
                <w:color w:val="auto"/>
                <w:kern w:val="0"/>
                <w:sz w:val="24"/>
                <w:szCs w:val="24"/>
                <w:lang w:val="en-US" w:eastAsia="zh-CN"/>
              </w:rPr>
              <w:t>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9" w:hRule="atLeast"/>
          <w:jc w:val="center"/>
        </w:trPr>
        <w:tc>
          <w:tcPr>
            <w:tcW w:w="3386" w:type="dxa"/>
            <w:shd w:val="clear" w:color="auto" w:fill="DBEEF3"/>
            <w:vAlign w:val="center"/>
          </w:tcPr>
          <w:p>
            <w:pPr>
              <w:pStyle w:val="19"/>
              <w:tabs>
                <w:tab w:val="left" w:pos="949"/>
              </w:tabs>
              <w:spacing w:line="240" w:lineRule="atLeast"/>
              <w:jc w:val="center"/>
              <w:rPr>
                <w:rFonts w:hint="eastAsia" w:ascii="宋体" w:hAnsi="宋体" w:eastAsia="宋体" w:cs="宋体"/>
                <w:color w:val="auto"/>
                <w:kern w:val="0"/>
                <w:sz w:val="24"/>
                <w:szCs w:val="24"/>
                <w:lang w:val="zh-TW"/>
              </w:rPr>
            </w:pPr>
            <w:r>
              <w:rPr>
                <w:rFonts w:hint="eastAsia" w:ascii="宋体" w:hAnsi="宋体" w:eastAsia="宋体" w:cs="宋体"/>
                <w:color w:val="auto"/>
                <w:kern w:val="0"/>
                <w:sz w:val="24"/>
                <w:szCs w:val="24"/>
                <w:lang w:val="zh-TW"/>
              </w:rPr>
              <w:t>绵阳市商业银行股份有限公司关于设立绿色信贷委员会的通知</w:t>
            </w:r>
          </w:p>
        </w:tc>
        <w:tc>
          <w:tcPr>
            <w:tcW w:w="1819" w:type="dxa"/>
            <w:shd w:val="clear" w:color="auto" w:fill="DBEEF3"/>
            <w:vAlign w:val="center"/>
          </w:tcPr>
          <w:p>
            <w:pPr>
              <w:pStyle w:val="19"/>
              <w:tabs>
                <w:tab w:val="left" w:pos="949"/>
              </w:tabs>
              <w:spacing w:line="240" w:lineRule="atLeast"/>
              <w:jc w:val="center"/>
              <w:rPr>
                <w:rFonts w:hint="eastAsia" w:ascii="宋体" w:hAnsi="宋体" w:eastAsia="宋体" w:cs="宋体"/>
                <w:color w:val="auto"/>
                <w:kern w:val="0"/>
                <w:sz w:val="24"/>
                <w:szCs w:val="24"/>
                <w:lang w:val="zh-TW"/>
              </w:rPr>
            </w:pPr>
            <w:r>
              <w:rPr>
                <w:rFonts w:hint="eastAsia" w:ascii="宋体" w:hAnsi="宋体" w:eastAsia="宋体" w:cs="宋体"/>
                <w:color w:val="auto"/>
                <w:kern w:val="0"/>
                <w:sz w:val="24"/>
                <w:szCs w:val="24"/>
                <w:lang w:val="zh-TW"/>
              </w:rPr>
              <w:t>绵商银发〔2020〕75号</w:t>
            </w:r>
          </w:p>
        </w:tc>
        <w:tc>
          <w:tcPr>
            <w:tcW w:w="1058" w:type="dxa"/>
            <w:shd w:val="clear" w:color="auto" w:fill="DBEEF3"/>
            <w:vAlign w:val="center"/>
          </w:tcPr>
          <w:p>
            <w:pPr>
              <w:pStyle w:val="19"/>
              <w:tabs>
                <w:tab w:val="left" w:pos="949"/>
              </w:tabs>
              <w:spacing w:line="240" w:lineRule="atLeast"/>
              <w:jc w:val="center"/>
              <w:rPr>
                <w:rFonts w:hint="eastAsia" w:ascii="宋体" w:hAnsi="宋体" w:eastAsia="宋体" w:cs="宋体"/>
                <w:color w:val="auto"/>
                <w:kern w:val="0"/>
                <w:sz w:val="24"/>
                <w:szCs w:val="24"/>
                <w:lang w:val="zh-TW"/>
              </w:rPr>
            </w:pPr>
            <w:r>
              <w:rPr>
                <w:rFonts w:hint="eastAsia" w:ascii="宋体" w:hAnsi="宋体" w:eastAsia="宋体" w:cs="宋体"/>
                <w:color w:val="auto"/>
                <w:kern w:val="0"/>
                <w:sz w:val="24"/>
                <w:szCs w:val="24"/>
                <w:lang w:val="zh-TW"/>
              </w:rPr>
              <w:t>当年新增</w:t>
            </w:r>
          </w:p>
        </w:tc>
        <w:tc>
          <w:tcPr>
            <w:tcW w:w="2475" w:type="dxa"/>
            <w:shd w:val="clear" w:color="auto" w:fill="DBEEF3"/>
            <w:vAlign w:val="center"/>
          </w:tcPr>
          <w:p>
            <w:pPr>
              <w:pStyle w:val="19"/>
              <w:tabs>
                <w:tab w:val="left" w:pos="949"/>
              </w:tabs>
              <w:spacing w:line="240" w:lineRule="atLeast"/>
              <w:jc w:val="center"/>
              <w:rPr>
                <w:rFonts w:hint="eastAsia" w:ascii="宋体" w:hAnsi="宋体" w:eastAsia="宋体" w:cs="宋体"/>
                <w:color w:val="auto"/>
                <w:kern w:val="0"/>
                <w:sz w:val="24"/>
                <w:szCs w:val="24"/>
                <w:lang w:val="zh-TW"/>
              </w:rPr>
            </w:pPr>
            <w:r>
              <w:rPr>
                <w:rFonts w:hint="eastAsia" w:ascii="宋体" w:hAnsi="宋体" w:eastAsia="宋体" w:cs="宋体"/>
                <w:color w:val="auto"/>
                <w:kern w:val="0"/>
                <w:sz w:val="24"/>
                <w:szCs w:val="24"/>
                <w:lang w:val="zh-TW"/>
              </w:rPr>
              <w:t>设立绿色信贷委员会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9" w:hRule="atLeast"/>
          <w:jc w:val="center"/>
        </w:trPr>
        <w:tc>
          <w:tcPr>
            <w:tcW w:w="3386" w:type="dxa"/>
            <w:shd w:val="clear" w:color="auto" w:fill="DBEEF3"/>
            <w:vAlign w:val="center"/>
          </w:tcPr>
          <w:p>
            <w:pPr>
              <w:pStyle w:val="19"/>
              <w:tabs>
                <w:tab w:val="left" w:pos="949"/>
              </w:tabs>
              <w:spacing w:line="240" w:lineRule="atLeast"/>
              <w:jc w:val="center"/>
              <w:rPr>
                <w:rFonts w:hint="eastAsia" w:ascii="宋体" w:hAnsi="宋体" w:eastAsia="宋体" w:cs="宋体"/>
                <w:color w:val="auto"/>
                <w:kern w:val="0"/>
                <w:sz w:val="24"/>
                <w:szCs w:val="24"/>
                <w:lang w:val="zh-TW"/>
              </w:rPr>
            </w:pPr>
            <w:r>
              <w:rPr>
                <w:rFonts w:hint="eastAsia" w:ascii="宋体" w:hAnsi="宋体" w:eastAsia="宋体" w:cs="宋体"/>
                <w:color w:val="auto"/>
                <w:kern w:val="0"/>
                <w:sz w:val="24"/>
                <w:szCs w:val="24"/>
                <w:lang w:val="zh-TW"/>
              </w:rPr>
              <w:t>绵阳市商业银行股份有限公司绿色信贷业务管理办法</w:t>
            </w:r>
          </w:p>
        </w:tc>
        <w:tc>
          <w:tcPr>
            <w:tcW w:w="1819" w:type="dxa"/>
            <w:shd w:val="clear" w:color="auto" w:fill="DBEEF3"/>
            <w:vAlign w:val="center"/>
          </w:tcPr>
          <w:p>
            <w:pPr>
              <w:pStyle w:val="19"/>
              <w:tabs>
                <w:tab w:val="left" w:pos="949"/>
              </w:tabs>
              <w:spacing w:line="240" w:lineRule="atLeast"/>
              <w:jc w:val="center"/>
              <w:rPr>
                <w:rFonts w:hint="eastAsia" w:ascii="宋体" w:hAnsi="宋体" w:eastAsia="宋体" w:cs="宋体"/>
                <w:color w:val="auto"/>
                <w:kern w:val="0"/>
                <w:sz w:val="24"/>
                <w:szCs w:val="24"/>
                <w:lang w:val="zh-TW"/>
              </w:rPr>
            </w:pPr>
            <w:r>
              <w:rPr>
                <w:rFonts w:hint="eastAsia" w:ascii="宋体" w:hAnsi="宋体" w:eastAsia="宋体" w:cs="宋体"/>
                <w:color w:val="auto"/>
                <w:kern w:val="0"/>
                <w:sz w:val="24"/>
                <w:szCs w:val="24"/>
                <w:lang w:val="zh-TW"/>
              </w:rPr>
              <w:t>绵商银发〔2019〕353号</w:t>
            </w:r>
          </w:p>
        </w:tc>
        <w:tc>
          <w:tcPr>
            <w:tcW w:w="1058" w:type="dxa"/>
            <w:shd w:val="clear" w:color="auto" w:fill="DBEEF3"/>
            <w:vAlign w:val="center"/>
          </w:tcPr>
          <w:p>
            <w:pPr>
              <w:pStyle w:val="19"/>
              <w:tabs>
                <w:tab w:val="left" w:pos="949"/>
              </w:tabs>
              <w:spacing w:line="240" w:lineRule="atLeast"/>
              <w:jc w:val="center"/>
              <w:rPr>
                <w:rFonts w:hint="eastAsia" w:ascii="宋体" w:hAnsi="宋体" w:eastAsia="宋体" w:cs="宋体"/>
                <w:color w:val="auto"/>
                <w:kern w:val="0"/>
                <w:sz w:val="24"/>
                <w:szCs w:val="24"/>
                <w:lang w:val="zh-TW"/>
              </w:rPr>
            </w:pPr>
            <w:r>
              <w:rPr>
                <w:rFonts w:hint="eastAsia" w:ascii="宋体" w:hAnsi="宋体" w:eastAsia="宋体" w:cs="宋体"/>
                <w:color w:val="auto"/>
                <w:kern w:val="0"/>
                <w:sz w:val="24"/>
                <w:szCs w:val="24"/>
                <w:lang w:val="zh-TW"/>
              </w:rPr>
              <w:t>已建立</w:t>
            </w:r>
          </w:p>
        </w:tc>
        <w:tc>
          <w:tcPr>
            <w:tcW w:w="2475" w:type="dxa"/>
            <w:shd w:val="clear" w:color="auto" w:fill="DBEEF3"/>
            <w:vAlign w:val="center"/>
          </w:tcPr>
          <w:p>
            <w:pPr>
              <w:pStyle w:val="19"/>
              <w:tabs>
                <w:tab w:val="left" w:pos="949"/>
              </w:tabs>
              <w:spacing w:line="240" w:lineRule="atLeast"/>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规范</w:t>
            </w:r>
            <w:r>
              <w:rPr>
                <w:rFonts w:hint="eastAsia" w:ascii="宋体" w:hAnsi="宋体" w:eastAsia="宋体" w:cs="宋体"/>
                <w:color w:val="auto"/>
                <w:kern w:val="0"/>
                <w:sz w:val="24"/>
                <w:szCs w:val="24"/>
                <w:lang w:val="zh-TW"/>
              </w:rPr>
              <w:t>绿色信贷业务管理</w:t>
            </w:r>
          </w:p>
        </w:tc>
      </w:tr>
    </w:tbl>
    <w:p>
      <w:pPr>
        <w:pStyle w:val="9"/>
        <w:wordWrap/>
        <w:adjustRightInd/>
        <w:snapToGrid/>
        <w:spacing w:before="0" w:beforeAutospacing="0" w:after="0" w:afterAutospacing="0" w:line="590" w:lineRule="exact"/>
        <w:ind w:left="0" w:leftChars="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我行</w:t>
      </w:r>
      <w:r>
        <w:rPr>
          <w:rFonts w:hint="eastAsia" w:ascii="仿宋" w:hAnsi="仿宋" w:eastAsia="仿宋" w:cs="仿宋"/>
          <w:sz w:val="32"/>
          <w:szCs w:val="32"/>
          <w:lang w:eastAsia="zh-CN"/>
        </w:rPr>
        <w:t>认真落实绿色金融相关政策，</w:t>
      </w:r>
      <w:r>
        <w:rPr>
          <w:rFonts w:hint="eastAsia" w:ascii="仿宋" w:hAnsi="仿宋" w:eastAsia="仿宋" w:cs="仿宋"/>
          <w:sz w:val="32"/>
          <w:szCs w:val="32"/>
        </w:rPr>
        <w:t>明确年度授信政策，将信贷资源配置向低耗能、低污染、低排放的行业倾斜，倡导和培育绿色金融文化。将环境和社会风险管理纳入信贷合同管理，要求借款方不存在任何违反环境和社会风险管理法律、法规与规章的行为或情形。持续推进绿色金融示范创建</w:t>
      </w:r>
      <w:r>
        <w:rPr>
          <w:rFonts w:hint="eastAsia" w:ascii="仿宋" w:hAnsi="仿宋" w:eastAsia="仿宋" w:cs="仿宋"/>
          <w:sz w:val="32"/>
          <w:szCs w:val="32"/>
          <w:lang w:eastAsia="zh-CN"/>
        </w:rPr>
        <w:t>，将</w:t>
      </w:r>
      <w:r>
        <w:rPr>
          <w:rFonts w:hint="eastAsia" w:ascii="仿宋" w:hAnsi="仿宋" w:eastAsia="仿宋" w:cs="仿宋"/>
          <w:sz w:val="32"/>
          <w:szCs w:val="32"/>
        </w:rPr>
        <w:t>江油支行作为绿色金融示范行</w:t>
      </w:r>
      <w:r>
        <w:rPr>
          <w:rFonts w:hint="eastAsia" w:ascii="仿宋" w:hAnsi="仿宋" w:eastAsia="仿宋" w:cs="仿宋"/>
          <w:sz w:val="32"/>
          <w:szCs w:val="32"/>
          <w:lang w:eastAsia="zh-CN"/>
        </w:rPr>
        <w:t>，加大创建力度</w:t>
      </w:r>
      <w:r>
        <w:rPr>
          <w:rFonts w:hint="eastAsia" w:ascii="仿宋" w:hAnsi="仿宋" w:eastAsia="仿宋" w:cs="仿宋"/>
          <w:sz w:val="32"/>
          <w:szCs w:val="32"/>
        </w:rPr>
        <w:t>，</w:t>
      </w:r>
      <w:r>
        <w:rPr>
          <w:rFonts w:hint="eastAsia" w:ascii="仿宋" w:hAnsi="仿宋" w:eastAsia="仿宋" w:cs="仿宋"/>
          <w:sz w:val="32"/>
          <w:szCs w:val="32"/>
          <w:lang w:eastAsia="zh-CN"/>
        </w:rPr>
        <w:t>督促其</w:t>
      </w:r>
      <w:r>
        <w:rPr>
          <w:rFonts w:hint="eastAsia" w:ascii="仿宋" w:hAnsi="仿宋" w:eastAsia="仿宋" w:cs="仿宋"/>
          <w:sz w:val="32"/>
          <w:szCs w:val="32"/>
        </w:rPr>
        <w:t>积极响应贯彻相关政策，积极推动绿色信贷工作</w:t>
      </w:r>
      <w:r>
        <w:rPr>
          <w:rFonts w:hint="eastAsia" w:ascii="仿宋" w:hAnsi="仿宋" w:eastAsia="仿宋" w:cs="仿宋"/>
          <w:sz w:val="32"/>
          <w:szCs w:val="32"/>
          <w:lang w:eastAsia="zh-CN"/>
        </w:rPr>
        <w:t>，</w:t>
      </w:r>
      <w:r>
        <w:rPr>
          <w:rFonts w:hint="eastAsia" w:ascii="仿宋" w:hAnsi="仿宋" w:eastAsia="仿宋" w:cs="仿宋"/>
          <w:sz w:val="32"/>
          <w:szCs w:val="32"/>
        </w:rPr>
        <w:t>发挥示范行的良好示范作用</w:t>
      </w:r>
      <w:r>
        <w:rPr>
          <w:rFonts w:hint="eastAsia" w:ascii="仿宋" w:hAnsi="仿宋" w:eastAsia="仿宋" w:cs="仿宋"/>
          <w:sz w:val="32"/>
          <w:szCs w:val="32"/>
          <w:lang w:eastAsia="zh-CN"/>
        </w:rPr>
        <w:t>。</w:t>
      </w:r>
    </w:p>
    <w:p>
      <w:pPr>
        <w:pStyle w:val="9"/>
        <w:wordWrap/>
        <w:adjustRightInd/>
        <w:snapToGrid/>
        <w:spacing w:before="0" w:beforeAutospacing="0" w:after="0" w:afterAutospacing="0" w:line="590" w:lineRule="exact"/>
        <w:ind w:left="0" w:leftChars="0" w:right="0" w:firstLine="640" w:firstLineChars="200"/>
        <w:jc w:val="both"/>
        <w:textAlignment w:val="auto"/>
        <w:rPr>
          <w:rFonts w:ascii="仿宋" w:hAnsi="仿宋" w:eastAsia="仿宋" w:cs="仿宋"/>
          <w:color w:val="000000"/>
          <w:sz w:val="32"/>
          <w:szCs w:val="32"/>
        </w:rPr>
      </w:pPr>
      <w:r>
        <w:rPr>
          <w:rFonts w:hint="eastAsia" w:ascii="仿宋" w:hAnsi="仿宋" w:eastAsia="仿宋" w:cs="仿宋"/>
          <w:color w:val="000000"/>
          <w:sz w:val="32"/>
          <w:szCs w:val="32"/>
        </w:rPr>
        <w:t>为践行绿色发展理念，加快推进绿色金融发展，我行</w:t>
      </w:r>
      <w:r>
        <w:rPr>
          <w:rFonts w:hint="eastAsia" w:ascii="仿宋" w:hAnsi="仿宋" w:eastAsia="仿宋" w:cs="仿宋"/>
          <w:color w:val="000000"/>
          <w:sz w:val="32"/>
          <w:szCs w:val="32"/>
          <w:lang w:eastAsia="zh-CN"/>
        </w:rPr>
        <w:t>于</w:t>
      </w:r>
      <w:r>
        <w:rPr>
          <w:rFonts w:hint="eastAsia" w:ascii="仿宋" w:hAnsi="仿宋" w:eastAsia="仿宋" w:cs="仿宋"/>
          <w:color w:val="000000"/>
          <w:sz w:val="32"/>
          <w:szCs w:val="32"/>
          <w:lang w:val="en-US" w:eastAsia="zh-CN"/>
        </w:rPr>
        <w:t>2020年7月</w:t>
      </w:r>
      <w:r>
        <w:rPr>
          <w:rFonts w:hint="eastAsia" w:ascii="仿宋" w:hAnsi="仿宋" w:eastAsia="仿宋" w:cs="仿宋"/>
          <w:color w:val="000000"/>
          <w:sz w:val="32"/>
          <w:szCs w:val="32"/>
        </w:rPr>
        <w:t>正式加入“赤道原则协会”并采纳赤道原则，成为</w:t>
      </w:r>
      <w:r>
        <w:rPr>
          <w:rFonts w:hint="eastAsia" w:ascii="仿宋" w:hAnsi="仿宋" w:eastAsia="仿宋" w:cs="仿宋"/>
          <w:color w:val="000000"/>
          <w:sz w:val="32"/>
          <w:szCs w:val="32"/>
          <w:lang w:eastAsia="zh-CN"/>
        </w:rPr>
        <w:t>中国大陆</w:t>
      </w:r>
      <w:r>
        <w:rPr>
          <w:rFonts w:hint="eastAsia" w:ascii="仿宋" w:hAnsi="仿宋" w:eastAsia="仿宋" w:cs="仿宋"/>
          <w:color w:val="000000"/>
          <w:sz w:val="32"/>
          <w:szCs w:val="32"/>
        </w:rPr>
        <w:t>第五家、西部第二家、四川省第一家宣布采纳赤道原则的银行。根据赤道原则规定，我行形成了《绵阳市商业银行股份有限公司适用赤道原则的项目评价报告》</w:t>
      </w:r>
      <w:r>
        <w:rPr>
          <w:rFonts w:hint="eastAsia" w:ascii="仿宋" w:hAnsi="仿宋" w:eastAsia="仿宋" w:cs="仿宋"/>
          <w:color w:val="000000"/>
          <w:sz w:val="32"/>
          <w:szCs w:val="32"/>
          <w:lang w:val="en-US" w:eastAsia="zh-CN"/>
        </w:rPr>
        <w:t>(试行）</w:t>
      </w:r>
      <w:r>
        <w:rPr>
          <w:rFonts w:hint="eastAsia" w:ascii="仿宋" w:hAnsi="仿宋" w:eastAsia="仿宋" w:cs="仿宋"/>
          <w:color w:val="000000"/>
          <w:sz w:val="32"/>
          <w:szCs w:val="32"/>
        </w:rPr>
        <w:t>，存量绿色信贷已逐步进行补充调查，项目融资中向公众披露项目温室气体排放量及环境和社会影响，及时披露环境信息。</w:t>
      </w:r>
    </w:p>
    <w:p>
      <w:pPr>
        <w:wordWrap/>
        <w:adjustRightInd/>
        <w:snapToGrid/>
        <w:spacing w:line="590" w:lineRule="exact"/>
        <w:ind w:left="0" w:leftChars="0" w:right="0" w:firstLine="640" w:firstLineChars="200"/>
        <w:jc w:val="both"/>
        <w:textAlignment w:val="auto"/>
        <w:outlineLvl w:val="0"/>
        <w:rPr>
          <w:rFonts w:hint="eastAsia" w:ascii="黑体" w:hAnsi="黑体" w:eastAsia="黑体" w:cs="仿宋"/>
          <w:sz w:val="32"/>
          <w:szCs w:val="32"/>
          <w:lang w:eastAsia="zh-CN"/>
        </w:rPr>
      </w:pPr>
      <w:bookmarkStart w:id="11" w:name="_Toc12114"/>
      <w:r>
        <w:rPr>
          <w:rFonts w:hint="eastAsia" w:ascii="黑体" w:hAnsi="黑体" w:eastAsia="黑体" w:cs="仿宋"/>
          <w:sz w:val="32"/>
          <w:szCs w:val="32"/>
          <w:lang w:eastAsia="zh-CN"/>
        </w:rPr>
        <w:t>四、环境相关产品和服务创新</w:t>
      </w:r>
      <w:bookmarkEnd w:id="11"/>
    </w:p>
    <w:p>
      <w:pPr>
        <w:wordWrap/>
        <w:adjustRightInd/>
        <w:snapToGrid/>
        <w:spacing w:line="590" w:lineRule="exact"/>
        <w:ind w:left="0" w:leftChars="0" w:right="0" w:firstLine="704" w:firstLineChars="220"/>
        <w:jc w:val="both"/>
        <w:textAlignment w:val="auto"/>
        <w:rPr>
          <w:rFonts w:hint="eastAsia" w:ascii="仿宋" w:hAnsi="仿宋" w:eastAsia="仿宋" w:cs="仿宋"/>
          <w:b w:val="0"/>
          <w:bCs/>
          <w:i w:val="0"/>
          <w:iCs/>
          <w:sz w:val="32"/>
          <w:szCs w:val="32"/>
          <w:lang w:eastAsia="zh-CN"/>
        </w:rPr>
      </w:pPr>
      <w:r>
        <w:rPr>
          <w:rFonts w:hint="eastAsia" w:ascii="仿宋" w:hAnsi="仿宋" w:eastAsia="仿宋" w:cs="仿宋"/>
          <w:bCs/>
          <w:sz w:val="32"/>
          <w:szCs w:val="32"/>
        </w:rPr>
        <w:t>为深入</w:t>
      </w:r>
      <w:r>
        <w:rPr>
          <w:rFonts w:hint="eastAsia" w:ascii="仿宋" w:hAnsi="仿宋" w:eastAsia="仿宋" w:cs="仿宋"/>
          <w:bCs/>
          <w:sz w:val="32"/>
          <w:szCs w:val="32"/>
          <w:lang w:eastAsia="zh-CN"/>
        </w:rPr>
        <w:t>践行</w:t>
      </w:r>
      <w:r>
        <w:rPr>
          <w:rFonts w:hint="eastAsia" w:ascii="仿宋" w:hAnsi="仿宋" w:eastAsia="仿宋" w:cs="仿宋"/>
          <w:bCs/>
          <w:sz w:val="32"/>
          <w:szCs w:val="32"/>
        </w:rPr>
        <w:t>生态文明</w:t>
      </w:r>
      <w:r>
        <w:rPr>
          <w:rFonts w:hint="eastAsia" w:ascii="仿宋" w:hAnsi="仿宋" w:eastAsia="仿宋" w:cs="仿宋"/>
          <w:bCs/>
          <w:sz w:val="32"/>
          <w:szCs w:val="32"/>
          <w:lang w:eastAsia="zh-CN"/>
        </w:rPr>
        <w:t>理念</w:t>
      </w:r>
      <w:r>
        <w:rPr>
          <w:rFonts w:hint="eastAsia" w:ascii="仿宋" w:hAnsi="仿宋" w:eastAsia="仿宋" w:cs="仿宋"/>
          <w:bCs/>
          <w:sz w:val="32"/>
          <w:szCs w:val="32"/>
        </w:rPr>
        <w:t>，</w:t>
      </w:r>
      <w:r>
        <w:rPr>
          <w:rFonts w:hint="eastAsia" w:ascii="仿宋" w:hAnsi="仿宋" w:eastAsia="仿宋" w:cs="仿宋"/>
          <w:snapToGrid w:val="0"/>
          <w:color w:val="000000"/>
          <w:kern w:val="0"/>
          <w:sz w:val="32"/>
          <w:szCs w:val="32"/>
        </w:rPr>
        <w:t>根据《中华人民共和国商业银行法》《贷款通则》等法律法规，并结合</w:t>
      </w:r>
      <w:r>
        <w:rPr>
          <w:rFonts w:hint="eastAsia" w:ascii="仿宋" w:hAnsi="仿宋" w:eastAsia="仿宋" w:cs="仿宋"/>
          <w:b w:val="0"/>
          <w:bCs/>
          <w:i w:val="0"/>
          <w:iCs/>
          <w:snapToGrid w:val="0"/>
          <w:color w:val="000000"/>
          <w:kern w:val="0"/>
          <w:sz w:val="32"/>
          <w:szCs w:val="32"/>
        </w:rPr>
        <w:t>《绵阳市商业银行股份有限公司绿色信贷业务管理办法》（绵商银发〔2019〕353号）</w:t>
      </w:r>
      <w:r>
        <w:rPr>
          <w:rFonts w:hint="eastAsia" w:ascii="仿宋" w:hAnsi="仿宋" w:eastAsia="仿宋" w:cs="仿宋"/>
          <w:snapToGrid w:val="0"/>
          <w:color w:val="000000"/>
          <w:kern w:val="0"/>
          <w:sz w:val="32"/>
          <w:szCs w:val="32"/>
        </w:rPr>
        <w:t>等相关信贷制度，我行制定了</w:t>
      </w:r>
      <w:r>
        <w:rPr>
          <w:rFonts w:hint="eastAsia" w:ascii="仿宋" w:hAnsi="仿宋" w:eastAsia="仿宋" w:cs="仿宋"/>
          <w:b w:val="0"/>
          <w:bCs/>
          <w:i w:val="0"/>
          <w:iCs/>
          <w:snapToGrid w:val="0"/>
          <w:color w:val="000000"/>
          <w:kern w:val="0"/>
          <w:sz w:val="32"/>
          <w:szCs w:val="32"/>
        </w:rPr>
        <w:t>《绵阳市商业银行股份有限公司“环保贷”管理细则》</w:t>
      </w:r>
      <w:r>
        <w:rPr>
          <w:rFonts w:hint="eastAsia" w:ascii="仿宋" w:hAnsi="仿宋" w:eastAsia="仿宋" w:cs="仿宋"/>
          <w:b w:val="0"/>
          <w:bCs/>
          <w:i w:val="0"/>
          <w:iCs/>
          <w:sz w:val="32"/>
          <w:szCs w:val="32"/>
          <w:lang w:eastAsia="zh-CN"/>
        </w:rPr>
        <w:t>（绵商银发〔20</w:t>
      </w:r>
      <w:r>
        <w:rPr>
          <w:rFonts w:hint="eastAsia" w:ascii="仿宋" w:hAnsi="仿宋" w:eastAsia="仿宋" w:cs="仿宋"/>
          <w:b w:val="0"/>
          <w:bCs/>
          <w:i w:val="0"/>
          <w:iCs/>
          <w:sz w:val="32"/>
          <w:szCs w:val="32"/>
          <w:lang w:val="en-US" w:eastAsia="zh-CN"/>
        </w:rPr>
        <w:t>19</w:t>
      </w:r>
      <w:r>
        <w:rPr>
          <w:rFonts w:hint="eastAsia" w:ascii="仿宋" w:hAnsi="仿宋" w:eastAsia="仿宋" w:cs="仿宋"/>
          <w:b w:val="0"/>
          <w:bCs/>
          <w:i w:val="0"/>
          <w:iCs/>
          <w:sz w:val="32"/>
          <w:szCs w:val="32"/>
          <w:lang w:eastAsia="zh-CN"/>
        </w:rPr>
        <w:t>〕</w:t>
      </w:r>
      <w:r>
        <w:rPr>
          <w:rFonts w:hint="eastAsia" w:ascii="仿宋" w:hAnsi="仿宋" w:eastAsia="仿宋" w:cs="仿宋"/>
          <w:b w:val="0"/>
          <w:bCs/>
          <w:i w:val="0"/>
          <w:iCs/>
          <w:sz w:val="32"/>
          <w:szCs w:val="32"/>
          <w:lang w:val="en-US" w:eastAsia="zh-CN"/>
        </w:rPr>
        <w:t>402</w:t>
      </w:r>
      <w:r>
        <w:rPr>
          <w:rFonts w:hint="eastAsia" w:ascii="仿宋" w:hAnsi="仿宋" w:eastAsia="仿宋" w:cs="仿宋"/>
          <w:b w:val="0"/>
          <w:bCs/>
          <w:i w:val="0"/>
          <w:iCs/>
          <w:sz w:val="32"/>
          <w:szCs w:val="32"/>
          <w:lang w:eastAsia="zh-CN"/>
        </w:rPr>
        <w:t>号），</w:t>
      </w:r>
      <w:r>
        <w:rPr>
          <w:rFonts w:hint="eastAsia" w:ascii="仿宋" w:hAnsi="仿宋" w:eastAsia="仿宋" w:cs="仿宋"/>
          <w:snapToGrid w:val="0"/>
          <w:color w:val="000000"/>
          <w:kern w:val="0"/>
          <w:sz w:val="32"/>
          <w:szCs w:val="32"/>
          <w:lang w:eastAsia="zh-CN"/>
        </w:rPr>
        <w:t>创新</w:t>
      </w:r>
      <w:r>
        <w:rPr>
          <w:rFonts w:hint="eastAsia" w:ascii="仿宋" w:hAnsi="仿宋" w:eastAsia="仿宋" w:cs="仿宋"/>
          <w:snapToGrid w:val="0"/>
          <w:color w:val="000000"/>
          <w:kern w:val="0"/>
          <w:sz w:val="32"/>
          <w:szCs w:val="32"/>
          <w:lang w:val="en-US" w:eastAsia="zh-CN"/>
        </w:rPr>
        <w:t>推出</w:t>
      </w:r>
      <w:r>
        <w:rPr>
          <w:rFonts w:hint="eastAsia" w:ascii="仿宋" w:hAnsi="仿宋" w:eastAsia="仿宋" w:cs="仿宋"/>
          <w:snapToGrid w:val="0"/>
          <w:color w:val="000000"/>
          <w:kern w:val="0"/>
          <w:sz w:val="32"/>
          <w:szCs w:val="32"/>
          <w:lang w:eastAsia="zh-CN"/>
        </w:rPr>
        <w:t>“环保贷”</w:t>
      </w:r>
      <w:r>
        <w:rPr>
          <w:rFonts w:hint="eastAsia" w:ascii="仿宋" w:hAnsi="仿宋" w:eastAsia="仿宋" w:cs="仿宋"/>
          <w:snapToGrid w:val="0"/>
          <w:color w:val="000000"/>
          <w:kern w:val="0"/>
          <w:sz w:val="32"/>
          <w:szCs w:val="32"/>
          <w:lang w:val="en-US" w:eastAsia="zh-CN"/>
        </w:rPr>
        <w:t>产品</w:t>
      </w:r>
      <w:r>
        <w:rPr>
          <w:rFonts w:hint="eastAsia" w:ascii="仿宋" w:hAnsi="仿宋" w:eastAsia="仿宋" w:cs="仿宋"/>
          <w:b w:val="0"/>
          <w:bCs/>
          <w:i w:val="0"/>
          <w:iCs/>
          <w:sz w:val="32"/>
          <w:szCs w:val="32"/>
          <w:lang w:eastAsia="zh-CN"/>
        </w:rPr>
        <w:t>。</w:t>
      </w:r>
    </w:p>
    <w:p>
      <w:pPr>
        <w:spacing w:line="240" w:lineRule="atLeast"/>
        <w:jc w:val="center"/>
        <w:rPr>
          <w:rFonts w:hint="eastAsia" w:ascii="仿宋" w:hAnsi="仿宋" w:eastAsia="仿宋" w:cs="仿宋"/>
          <w:sz w:val="32"/>
          <w:szCs w:val="32"/>
          <w:lang w:eastAsia="zh-CN"/>
        </w:rPr>
      </w:pPr>
      <w:r>
        <w:rPr>
          <w:rFonts w:hint="eastAsia" w:ascii="仿宋" w:hAnsi="仿宋" w:eastAsia="仿宋" w:cs="仿宋"/>
          <w:kern w:val="2"/>
          <w:sz w:val="32"/>
          <w:szCs w:val="32"/>
          <w:lang w:val="en-US" w:eastAsia="zh-CN" w:bidi="ar-SA"/>
        </w:rPr>
        <w:pict>
          <v:shape id="_x0000_i1027" o:spt="75" type="#_x0000_t75" style="height:219.05pt;width:336.75pt;" fillcolor="#FFFFFF" filled="f" o:preferrelative="t" stroked="f" coordsize="21600,21600">
            <v:path/>
            <v:fill on="f" color2="#FFFFFF" focussize="0,0"/>
            <v:stroke on="f"/>
            <v:imagedata r:id="rId7" gain="65536f" blacklevel="0f" gamma="0" o:title=""/>
            <o:lock v:ext="edit" position="f" selection="f" grouping="f" rotation="f" cropping="f" text="f" aspectratio="t"/>
            <w10:wrap type="none"/>
            <w10:anchorlock/>
          </v:shape>
        </w:pict>
      </w:r>
    </w:p>
    <w:p>
      <w:pPr>
        <w:jc w:val="center"/>
        <w:rPr>
          <w:rFonts w:hint="default" w:ascii="宋体" w:hAnsi="宋体" w:cs="宋体"/>
          <w:sz w:val="28"/>
          <w:szCs w:val="28"/>
          <w:lang w:val="en-US" w:eastAsia="zh-CN"/>
        </w:rPr>
      </w:pPr>
      <w:r>
        <w:rPr>
          <w:rFonts w:hint="eastAsia" w:ascii="宋体" w:hAnsi="宋体" w:cs="宋体"/>
          <w:sz w:val="28"/>
          <w:szCs w:val="28"/>
          <w:lang w:val="en-US" w:eastAsia="zh-CN"/>
        </w:rPr>
        <w:t>图3</w:t>
      </w:r>
      <w:r>
        <w:rPr>
          <w:rFonts w:hint="eastAsia" w:ascii="宋体" w:hAnsi="宋体" w:eastAsia="宋体" w:cs="宋体"/>
          <w:sz w:val="28"/>
          <w:szCs w:val="28"/>
        </w:rPr>
        <w:t xml:space="preserve">： </w:t>
      </w:r>
      <w:r>
        <w:rPr>
          <w:rFonts w:hint="eastAsia" w:ascii="宋体" w:hAnsi="宋体" w:cs="宋体"/>
          <w:sz w:val="28"/>
          <w:szCs w:val="28"/>
          <w:lang w:val="en-US" w:eastAsia="zh-CN"/>
        </w:rPr>
        <w:t>举办“环保贷”座谈会现场</w:t>
      </w:r>
    </w:p>
    <w:p>
      <w:pPr>
        <w:wordWrap/>
        <w:adjustRightInd/>
        <w:snapToGrid/>
        <w:spacing w:line="590" w:lineRule="exact"/>
        <w:ind w:left="0" w:leftChars="0" w:right="0" w:firstLine="704" w:firstLineChars="220"/>
        <w:jc w:val="both"/>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“环保贷”</w:t>
      </w:r>
      <w:r>
        <w:rPr>
          <w:rFonts w:hint="eastAsia" w:ascii="仿宋" w:hAnsi="仿宋" w:eastAsia="仿宋" w:cs="仿宋"/>
          <w:sz w:val="32"/>
          <w:szCs w:val="32"/>
          <w:shd w:val="clear" w:color="auto" w:fill="FFFFFF"/>
          <w:lang w:val="en-US" w:eastAsia="zh-CN"/>
        </w:rPr>
        <w:t>的</w:t>
      </w:r>
      <w:r>
        <w:rPr>
          <w:rFonts w:hint="eastAsia" w:ascii="仿宋" w:hAnsi="仿宋" w:eastAsia="仿宋" w:cs="仿宋"/>
          <w:sz w:val="32"/>
          <w:szCs w:val="32"/>
          <w:shd w:val="clear" w:color="auto" w:fill="FFFFFF"/>
        </w:rPr>
        <w:t>目标企业是经市场监管部门核准登记、税收和统计关系在我市、在环境信用评价中被市生态环境局评为环保诚信企业和环保良好企业的企事业单位</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rPr>
        <w:t>我行</w:t>
      </w:r>
      <w:r>
        <w:rPr>
          <w:rFonts w:hint="eastAsia" w:ascii="仿宋" w:hAnsi="仿宋" w:eastAsia="仿宋" w:cs="仿宋"/>
          <w:sz w:val="32"/>
          <w:szCs w:val="32"/>
          <w:shd w:val="clear" w:color="auto" w:fill="FFFFFF"/>
          <w:lang w:val="en-US" w:eastAsia="zh-CN"/>
        </w:rPr>
        <w:t>在</w:t>
      </w:r>
      <w:r>
        <w:rPr>
          <w:rFonts w:hint="eastAsia" w:ascii="仿宋" w:hAnsi="仿宋" w:eastAsia="仿宋" w:cs="仿宋"/>
          <w:sz w:val="32"/>
          <w:szCs w:val="32"/>
          <w:shd w:val="clear" w:color="auto" w:fill="FFFFFF"/>
        </w:rPr>
        <w:t>授信</w:t>
      </w:r>
      <w:r>
        <w:rPr>
          <w:rFonts w:hint="eastAsia" w:ascii="仿宋" w:hAnsi="仿宋" w:eastAsia="仿宋" w:cs="仿宋"/>
          <w:sz w:val="32"/>
          <w:szCs w:val="32"/>
          <w:shd w:val="clear" w:color="auto" w:fill="FFFFFF"/>
          <w:lang w:val="en-US" w:eastAsia="zh-CN"/>
        </w:rPr>
        <w:t>中凭借</w:t>
      </w:r>
      <w:r>
        <w:rPr>
          <w:rFonts w:hint="eastAsia" w:ascii="仿宋" w:hAnsi="仿宋" w:eastAsia="仿宋" w:cs="仿宋"/>
          <w:sz w:val="32"/>
          <w:szCs w:val="32"/>
          <w:shd w:val="clear" w:color="auto" w:fill="FFFFFF"/>
        </w:rPr>
        <w:t>市生态环境局对借款人出具的年度环境信用评级</w:t>
      </w:r>
      <w:r>
        <w:rPr>
          <w:rFonts w:hint="eastAsia" w:ascii="仿宋" w:hAnsi="仿宋" w:eastAsia="仿宋" w:cs="仿宋"/>
          <w:sz w:val="32"/>
          <w:szCs w:val="32"/>
          <w:shd w:val="clear" w:color="auto" w:fill="FFFFFF"/>
          <w:lang w:val="en-US" w:eastAsia="zh-CN"/>
        </w:rPr>
        <w:t>信息作为增信手段，</w:t>
      </w:r>
      <w:r>
        <w:rPr>
          <w:rFonts w:hint="eastAsia" w:ascii="仿宋" w:hAnsi="仿宋" w:eastAsia="仿宋" w:cs="仿宋"/>
          <w:sz w:val="32"/>
          <w:szCs w:val="32"/>
          <w:shd w:val="clear" w:color="auto" w:fill="FFFFFF"/>
        </w:rPr>
        <w:t>担保方式可偏向轻资产担保或者信用方式。并在利率上给予企业最大程度支持，</w:t>
      </w:r>
      <w:r>
        <w:rPr>
          <w:rFonts w:hint="eastAsia" w:ascii="仿宋" w:hAnsi="仿宋" w:eastAsia="仿宋" w:cs="仿宋"/>
          <w:sz w:val="32"/>
          <w:szCs w:val="32"/>
          <w:shd w:val="clear" w:color="auto" w:fill="FFFFFF"/>
          <w:lang w:eastAsia="zh-CN"/>
        </w:rPr>
        <w:t>在原基础上</w:t>
      </w:r>
      <w:r>
        <w:rPr>
          <w:rFonts w:hint="eastAsia" w:ascii="仿宋" w:hAnsi="仿宋" w:eastAsia="仿宋" w:cs="仿宋"/>
          <w:sz w:val="32"/>
          <w:szCs w:val="32"/>
          <w:shd w:val="clear" w:color="auto" w:fill="FFFFFF"/>
        </w:rPr>
        <w:t>可降低50-100</w:t>
      </w:r>
      <w:r>
        <w:rPr>
          <w:rFonts w:hint="eastAsia" w:ascii="仿宋" w:hAnsi="仿宋" w:eastAsia="仿宋" w:cs="仿宋"/>
          <w:sz w:val="32"/>
          <w:szCs w:val="32"/>
          <w:shd w:val="clear" w:color="auto" w:fill="FFFFFF"/>
          <w:lang w:val="en-US" w:eastAsia="zh-CN"/>
        </w:rPr>
        <w:t>个</w:t>
      </w:r>
      <w:r>
        <w:rPr>
          <w:rFonts w:hint="eastAsia" w:ascii="仿宋" w:hAnsi="仿宋" w:eastAsia="仿宋" w:cs="仿宋"/>
          <w:sz w:val="32"/>
          <w:szCs w:val="32"/>
          <w:shd w:val="clear" w:color="auto" w:fill="FFFFFF"/>
        </w:rPr>
        <w:t>BP。</w:t>
      </w:r>
    </w:p>
    <w:p>
      <w:pPr>
        <w:wordWrap/>
        <w:adjustRightInd/>
        <w:snapToGrid/>
        <w:spacing w:line="590" w:lineRule="exact"/>
        <w:ind w:left="0" w:leftChars="0" w:right="0" w:firstLine="704" w:firstLineChars="220"/>
        <w:jc w:val="both"/>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相比普通贷款</w:t>
      </w:r>
      <w:r>
        <w:rPr>
          <w:rFonts w:hint="eastAsia" w:ascii="仿宋" w:hAnsi="仿宋" w:eastAsia="仿宋" w:cs="仿宋"/>
          <w:sz w:val="32"/>
          <w:szCs w:val="32"/>
          <w:shd w:val="clear" w:color="auto" w:fill="FFFFFF"/>
          <w:lang w:val="en-US" w:eastAsia="zh-CN"/>
        </w:rPr>
        <w:t>产品</w:t>
      </w:r>
      <w:r>
        <w:rPr>
          <w:rFonts w:hint="eastAsia" w:ascii="仿宋" w:hAnsi="仿宋" w:eastAsia="仿宋" w:cs="仿宋"/>
          <w:sz w:val="32"/>
          <w:szCs w:val="32"/>
          <w:shd w:val="clear" w:color="auto" w:fill="FFFFFF"/>
        </w:rPr>
        <w:t>，“环保贷”企业</w:t>
      </w:r>
      <w:r>
        <w:rPr>
          <w:rFonts w:hint="eastAsia" w:ascii="仿宋" w:hAnsi="仿宋" w:eastAsia="仿宋" w:cs="仿宋"/>
          <w:sz w:val="32"/>
          <w:szCs w:val="32"/>
          <w:shd w:val="clear" w:color="auto" w:fill="FFFFFF"/>
          <w:lang w:val="en-US" w:eastAsia="zh-CN"/>
        </w:rPr>
        <w:t>可享受更</w:t>
      </w:r>
      <w:r>
        <w:rPr>
          <w:rFonts w:hint="eastAsia" w:ascii="仿宋" w:hAnsi="仿宋" w:eastAsia="仿宋" w:cs="仿宋"/>
          <w:sz w:val="32"/>
          <w:szCs w:val="32"/>
          <w:shd w:val="clear" w:color="auto" w:fill="FFFFFF"/>
        </w:rPr>
        <w:t>高</w:t>
      </w:r>
      <w:r>
        <w:rPr>
          <w:rFonts w:hint="eastAsia" w:ascii="仿宋" w:hAnsi="仿宋" w:eastAsia="仿宋" w:cs="仿宋"/>
          <w:sz w:val="32"/>
          <w:szCs w:val="32"/>
          <w:shd w:val="clear" w:color="auto" w:fill="FFFFFF"/>
          <w:lang w:val="en-US" w:eastAsia="zh-CN"/>
        </w:rPr>
        <w:t>的贷款额度和更</w:t>
      </w:r>
      <w:r>
        <w:rPr>
          <w:rFonts w:hint="eastAsia" w:ascii="仿宋" w:hAnsi="仿宋" w:eastAsia="仿宋" w:cs="仿宋"/>
          <w:sz w:val="32"/>
          <w:szCs w:val="32"/>
          <w:shd w:val="clear" w:color="auto" w:fill="FFFFFF"/>
        </w:rPr>
        <w:t>低</w:t>
      </w:r>
      <w:r>
        <w:rPr>
          <w:rFonts w:hint="eastAsia" w:ascii="仿宋" w:hAnsi="仿宋" w:eastAsia="仿宋" w:cs="仿宋"/>
          <w:sz w:val="32"/>
          <w:szCs w:val="32"/>
          <w:shd w:val="clear" w:color="auto" w:fill="FFFFFF"/>
          <w:lang w:val="en-US" w:eastAsia="zh-CN"/>
        </w:rPr>
        <w:t>的贷款</w:t>
      </w:r>
      <w:r>
        <w:rPr>
          <w:rFonts w:hint="eastAsia" w:ascii="仿宋" w:hAnsi="仿宋" w:eastAsia="仿宋" w:cs="仿宋"/>
          <w:sz w:val="32"/>
          <w:szCs w:val="32"/>
          <w:shd w:val="clear" w:color="auto" w:fill="FFFFFF"/>
        </w:rPr>
        <w:t>利率</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lang w:val="en-US" w:eastAsia="zh-CN"/>
        </w:rPr>
        <w:t>在</w:t>
      </w:r>
      <w:r>
        <w:rPr>
          <w:rFonts w:hint="eastAsia" w:ascii="仿宋" w:hAnsi="仿宋" w:eastAsia="仿宋" w:cs="仿宋"/>
          <w:sz w:val="32"/>
          <w:szCs w:val="32"/>
          <w:shd w:val="clear" w:color="auto" w:fill="FFFFFF"/>
        </w:rPr>
        <w:t>受益的同时，也</w:t>
      </w:r>
      <w:r>
        <w:rPr>
          <w:rFonts w:hint="eastAsia" w:ascii="仿宋" w:hAnsi="仿宋" w:eastAsia="仿宋" w:cs="仿宋"/>
          <w:sz w:val="32"/>
          <w:szCs w:val="32"/>
          <w:shd w:val="clear" w:color="auto" w:fill="FFFFFF"/>
          <w:lang w:val="en-US" w:eastAsia="zh-CN"/>
        </w:rPr>
        <w:t>进一步强化了绿色发展</w:t>
      </w:r>
      <w:r>
        <w:rPr>
          <w:rFonts w:hint="eastAsia" w:ascii="仿宋" w:hAnsi="仿宋" w:eastAsia="仿宋" w:cs="仿宋"/>
          <w:sz w:val="32"/>
          <w:szCs w:val="32"/>
          <w:shd w:val="clear" w:color="auto" w:fill="FFFFFF"/>
        </w:rPr>
        <w:t>意识。截止2020年末，</w:t>
      </w:r>
      <w:r>
        <w:rPr>
          <w:rFonts w:hint="eastAsia" w:ascii="仿宋" w:hAnsi="仿宋" w:eastAsia="仿宋" w:cs="仿宋"/>
          <w:sz w:val="32"/>
          <w:szCs w:val="32"/>
          <w:shd w:val="clear" w:color="auto" w:fill="FFFFFF"/>
          <w:lang w:eastAsia="zh-CN"/>
        </w:rPr>
        <w:t>我行共发放</w:t>
      </w:r>
      <w:r>
        <w:rPr>
          <w:rFonts w:hint="eastAsia" w:ascii="仿宋" w:hAnsi="仿宋" w:eastAsia="仿宋" w:cs="仿宋"/>
          <w:sz w:val="32"/>
          <w:szCs w:val="32"/>
          <w:shd w:val="clear" w:color="auto" w:fill="FFFFFF"/>
        </w:rPr>
        <w:t>环保贷11笔</w:t>
      </w:r>
      <w:r>
        <w:rPr>
          <w:rFonts w:hint="eastAsia" w:ascii="仿宋" w:hAnsi="仿宋" w:eastAsia="仿宋" w:cs="仿宋"/>
          <w:sz w:val="32"/>
          <w:szCs w:val="32"/>
          <w:shd w:val="clear" w:color="auto" w:fill="FFFFFF"/>
          <w:lang w:eastAsia="zh-CN"/>
        </w:rPr>
        <w:t>、贷款</w:t>
      </w:r>
      <w:r>
        <w:rPr>
          <w:rFonts w:hint="eastAsia" w:ascii="仿宋" w:hAnsi="仿宋" w:eastAsia="仿宋" w:cs="仿宋"/>
          <w:sz w:val="32"/>
          <w:szCs w:val="32"/>
          <w:shd w:val="clear" w:color="auto" w:fill="FFFFFF"/>
        </w:rPr>
        <w:t>余额1.015亿</w:t>
      </w:r>
      <w:r>
        <w:rPr>
          <w:rFonts w:hint="eastAsia" w:ascii="仿宋" w:hAnsi="仿宋" w:eastAsia="仿宋" w:cs="仿宋"/>
          <w:sz w:val="32"/>
          <w:szCs w:val="32"/>
          <w:shd w:val="clear" w:color="auto" w:fill="FFFFFF"/>
          <w:lang w:eastAsia="zh-CN"/>
        </w:rPr>
        <w:t>元，惠</w:t>
      </w:r>
      <w:r>
        <w:rPr>
          <w:rFonts w:hint="eastAsia" w:ascii="仿宋" w:hAnsi="仿宋" w:eastAsia="仿宋" w:cs="仿宋"/>
          <w:sz w:val="32"/>
          <w:szCs w:val="32"/>
          <w:shd w:val="clear" w:color="auto" w:fill="FFFFFF"/>
        </w:rPr>
        <w:t>及7家企业。</w:t>
      </w:r>
    </w:p>
    <w:p>
      <w:pPr>
        <w:pStyle w:val="19"/>
        <w:widowControl w:val="0"/>
        <w:tabs>
          <w:tab w:val="left" w:pos="949"/>
        </w:tabs>
        <w:wordWrap/>
        <w:adjustRightInd/>
        <w:snapToGrid/>
        <w:spacing w:line="590" w:lineRule="exact"/>
        <w:ind w:left="0" w:leftChars="0" w:right="0" w:firstLine="640" w:firstLineChars="200"/>
        <w:jc w:val="both"/>
        <w:textAlignment w:val="auto"/>
        <w:outlineLvl w:val="0"/>
        <w:rPr>
          <w:rFonts w:ascii="黑体" w:hAnsi="黑体" w:eastAsia="黑体" w:cs="仿宋"/>
          <w:b w:val="0"/>
          <w:bCs w:val="0"/>
          <w:color w:val="auto"/>
          <w:sz w:val="32"/>
          <w:szCs w:val="32"/>
          <w:lang w:val="zh-TW" w:eastAsia="zh-TW"/>
        </w:rPr>
      </w:pPr>
      <w:bookmarkStart w:id="12" w:name="_Toc26857"/>
      <w:bookmarkStart w:id="13" w:name="_Toc23339953"/>
      <w:bookmarkStart w:id="14" w:name="_Toc23339691"/>
      <w:bookmarkStart w:id="15" w:name="_Toc20217"/>
      <w:r>
        <w:rPr>
          <w:rFonts w:hint="eastAsia" w:ascii="黑体" w:hAnsi="黑体" w:eastAsia="黑体" w:cs="仿宋"/>
          <w:b w:val="0"/>
          <w:bCs w:val="0"/>
          <w:color w:val="auto"/>
          <w:sz w:val="32"/>
          <w:szCs w:val="32"/>
          <w:lang w:eastAsia="zh-CN"/>
        </w:rPr>
        <w:t>五</w:t>
      </w:r>
      <w:r>
        <w:rPr>
          <w:rFonts w:hint="eastAsia" w:ascii="黑体" w:hAnsi="黑体" w:eastAsia="黑体" w:cs="仿宋"/>
          <w:b w:val="0"/>
          <w:bCs w:val="0"/>
          <w:color w:val="auto"/>
          <w:sz w:val="32"/>
          <w:szCs w:val="32"/>
        </w:rPr>
        <w:t>、</w:t>
      </w:r>
      <w:r>
        <w:rPr>
          <w:rFonts w:hint="eastAsia" w:ascii="黑体" w:hAnsi="黑体" w:eastAsia="黑体" w:cs="仿宋"/>
          <w:b w:val="0"/>
          <w:bCs w:val="0"/>
          <w:color w:val="auto"/>
          <w:sz w:val="32"/>
          <w:szCs w:val="32"/>
          <w:lang w:val="zh-TW" w:eastAsia="zh-TW"/>
        </w:rPr>
        <w:t>环境风险管理流程</w:t>
      </w:r>
      <w:bookmarkEnd w:id="12"/>
      <w:bookmarkEnd w:id="13"/>
      <w:bookmarkEnd w:id="14"/>
      <w:bookmarkEnd w:id="15"/>
    </w:p>
    <w:p>
      <w:pPr>
        <w:pStyle w:val="19"/>
        <w:widowControl w:val="0"/>
        <w:tabs>
          <w:tab w:val="left" w:pos="949"/>
        </w:tabs>
        <w:wordWrap/>
        <w:adjustRightInd/>
        <w:snapToGrid/>
        <w:spacing w:line="590" w:lineRule="exact"/>
        <w:ind w:left="0" w:leftChars="0" w:right="0" w:firstLine="640" w:firstLineChars="200"/>
        <w:jc w:val="both"/>
        <w:textAlignment w:val="auto"/>
        <w:rPr>
          <w:rFonts w:ascii="仿宋" w:hAnsi="仿宋" w:eastAsia="仿宋" w:cs="仿宋"/>
          <w:color w:val="auto"/>
          <w:sz w:val="32"/>
          <w:szCs w:val="32"/>
          <w:lang w:val="zh-TW" w:eastAsia="zh-TW"/>
        </w:rPr>
      </w:pPr>
      <w:r>
        <w:rPr>
          <w:rFonts w:hint="eastAsia" w:ascii="仿宋" w:hAnsi="仿宋" w:eastAsia="仿宋" w:cs="仿宋"/>
          <w:color w:val="auto"/>
          <w:sz w:val="32"/>
          <w:szCs w:val="32"/>
          <w:lang w:val="zh-TW" w:eastAsia="zh-CN"/>
        </w:rPr>
        <w:t>我</w:t>
      </w:r>
      <w:r>
        <w:rPr>
          <w:rFonts w:hint="eastAsia" w:ascii="仿宋" w:hAnsi="仿宋" w:eastAsia="仿宋" w:cs="仿宋"/>
          <w:color w:val="auto"/>
          <w:sz w:val="32"/>
          <w:szCs w:val="32"/>
          <w:lang w:val="zh-TW" w:eastAsia="zh-TW"/>
        </w:rPr>
        <w:t>行坚持可持续、高质量发展理念，持续关注信贷业务中的环境风险，以有利于环境和社会的方式发展信贷业务。</w:t>
      </w:r>
    </w:p>
    <w:p>
      <w:pPr>
        <w:pStyle w:val="19"/>
        <w:widowControl w:val="0"/>
        <w:tabs>
          <w:tab w:val="left" w:pos="949"/>
        </w:tabs>
        <w:wordWrap/>
        <w:adjustRightInd/>
        <w:snapToGrid/>
        <w:spacing w:line="590" w:lineRule="exact"/>
        <w:ind w:left="0" w:leftChars="0" w:right="0" w:firstLine="643" w:firstLineChars="200"/>
        <w:jc w:val="both"/>
        <w:textAlignment w:val="auto"/>
        <w:rPr>
          <w:rFonts w:ascii="楷体" w:hAnsi="楷体" w:eastAsia="楷体" w:cs="楷体"/>
          <w:b/>
          <w:bCs/>
          <w:color w:val="auto"/>
          <w:sz w:val="32"/>
          <w:szCs w:val="32"/>
          <w:lang w:val="zh-TW" w:eastAsia="zh-TW"/>
        </w:rPr>
      </w:pPr>
      <w:r>
        <w:rPr>
          <w:rFonts w:hint="eastAsia" w:ascii="楷体" w:hAnsi="楷体" w:eastAsia="楷体" w:cs="楷体"/>
          <w:b/>
          <w:bCs/>
          <w:color w:val="auto"/>
          <w:sz w:val="32"/>
          <w:szCs w:val="32"/>
        </w:rPr>
        <w:t>（一）</w:t>
      </w:r>
      <w:r>
        <w:rPr>
          <w:rFonts w:hint="eastAsia" w:ascii="楷体" w:hAnsi="楷体" w:eastAsia="楷体" w:cs="楷体"/>
          <w:b/>
          <w:bCs/>
          <w:color w:val="auto"/>
          <w:sz w:val="32"/>
          <w:szCs w:val="32"/>
          <w:lang w:val="zh-TW" w:eastAsia="zh-TW"/>
        </w:rPr>
        <w:t>识别和评估环境风险的流程</w:t>
      </w:r>
    </w:p>
    <w:p>
      <w:pPr>
        <w:pStyle w:val="19"/>
        <w:widowControl w:val="0"/>
        <w:tabs>
          <w:tab w:val="left" w:pos="949"/>
        </w:tabs>
        <w:wordWrap/>
        <w:adjustRightInd/>
        <w:snapToGrid/>
        <w:spacing w:line="590" w:lineRule="exact"/>
        <w:ind w:left="0" w:leftChars="0" w:right="0" w:firstLine="640" w:firstLineChars="200"/>
        <w:jc w:val="both"/>
        <w:textAlignment w:val="auto"/>
        <w:rPr>
          <w:rFonts w:ascii="仿宋" w:hAnsi="仿宋" w:eastAsia="仿宋"/>
          <w:kern w:val="0"/>
          <w:sz w:val="32"/>
          <w:szCs w:val="32"/>
        </w:rPr>
      </w:pPr>
      <w:r>
        <w:rPr>
          <w:rFonts w:hint="eastAsia" w:ascii="仿宋" w:hAnsi="仿宋" w:eastAsia="仿宋" w:cs="仿宋"/>
          <w:color w:val="auto"/>
          <w:sz w:val="32"/>
          <w:szCs w:val="32"/>
          <w:lang w:val="zh-TW" w:eastAsia="zh-CN"/>
        </w:rPr>
        <w:t>在</w:t>
      </w:r>
      <w:r>
        <w:rPr>
          <w:rFonts w:hint="eastAsia" w:ascii="仿宋" w:hAnsi="仿宋" w:eastAsia="仿宋" w:cs="仿宋"/>
          <w:color w:val="auto"/>
          <w:sz w:val="32"/>
          <w:szCs w:val="32"/>
          <w:lang w:val="zh-TW" w:eastAsia="zh-TW"/>
        </w:rPr>
        <w:t>《绵阳市商业银行股份有限公司绿色信贷业务管理办法》</w:t>
      </w:r>
      <w:r>
        <w:rPr>
          <w:rFonts w:hint="eastAsia" w:ascii="仿宋" w:hAnsi="仿宋" w:eastAsia="仿宋" w:cs="仿宋"/>
          <w:color w:val="000000"/>
          <w:sz w:val="32"/>
          <w:szCs w:val="32"/>
        </w:rPr>
        <w:t>（绵商银发〔2019〕353号）</w:t>
      </w:r>
      <w:r>
        <w:rPr>
          <w:rFonts w:hint="eastAsia" w:ascii="仿宋" w:hAnsi="仿宋" w:eastAsia="仿宋" w:cs="仿宋"/>
          <w:color w:val="000000"/>
          <w:sz w:val="32"/>
          <w:szCs w:val="32"/>
          <w:lang w:eastAsia="zh-CN"/>
        </w:rPr>
        <w:t>中</w:t>
      </w:r>
      <w:r>
        <w:rPr>
          <w:rFonts w:hint="eastAsia" w:ascii="仿宋" w:hAnsi="仿宋" w:eastAsia="仿宋" w:cs="仿宋"/>
          <w:color w:val="auto"/>
          <w:sz w:val="32"/>
          <w:szCs w:val="32"/>
          <w:lang w:val="zh-TW"/>
        </w:rPr>
        <w:t>明确</w:t>
      </w:r>
      <w:r>
        <w:rPr>
          <w:rFonts w:hint="eastAsia" w:ascii="仿宋" w:hAnsi="仿宋" w:eastAsia="仿宋"/>
          <w:kern w:val="0"/>
          <w:sz w:val="32"/>
          <w:szCs w:val="32"/>
        </w:rPr>
        <w:t>环境与社会风险分类类别及标准，将客户或项目按照环境与社会风险程度不同分为A（高）、B（中）、C（低）三类。</w:t>
      </w:r>
    </w:p>
    <w:p>
      <w:pPr>
        <w:pStyle w:val="19"/>
        <w:widowControl w:val="0"/>
        <w:tabs>
          <w:tab w:val="left" w:pos="949"/>
        </w:tabs>
        <w:wordWrap/>
        <w:adjustRightInd/>
        <w:snapToGrid/>
        <w:spacing w:line="590" w:lineRule="exact"/>
        <w:ind w:left="0" w:leftChars="0" w:right="0" w:firstLine="640" w:firstLineChars="200"/>
        <w:jc w:val="both"/>
        <w:textAlignment w:val="auto"/>
        <w:rPr>
          <w:rFonts w:ascii="仿宋" w:hAnsi="仿宋" w:eastAsia="仿宋" w:cs="仿宋"/>
          <w:color w:val="auto"/>
          <w:sz w:val="32"/>
          <w:szCs w:val="32"/>
          <w:lang w:val="zh-TW" w:eastAsia="zh-TW"/>
        </w:rPr>
      </w:pPr>
      <w:r>
        <w:rPr>
          <w:rFonts w:hint="eastAsia" w:ascii="仿宋" w:hAnsi="仿宋" w:eastAsia="仿宋" w:cs="仿宋"/>
          <w:color w:val="auto"/>
          <w:sz w:val="32"/>
          <w:szCs w:val="32"/>
          <w:lang w:val="zh-TW"/>
        </w:rPr>
        <w:t>符合赤道原则的项目，</w:t>
      </w:r>
      <w:r>
        <w:rPr>
          <w:rFonts w:hint="eastAsia" w:ascii="仿宋" w:hAnsi="仿宋" w:eastAsia="仿宋" w:cs="仿宋"/>
          <w:color w:val="auto"/>
          <w:sz w:val="32"/>
          <w:szCs w:val="32"/>
          <w:lang w:val="zh-TW" w:eastAsia="zh-TW"/>
        </w:rPr>
        <w:t>经营单位于贷前填写《采纳“赤道原则”项目评价报告(试行）》，阐述项目实施后将造成的社会效益，填写适用赤道原则的项目融资环境与社会风险点清单</w:t>
      </w:r>
      <w:r>
        <w:rPr>
          <w:rFonts w:hint="eastAsia" w:ascii="仿宋" w:hAnsi="仿宋" w:eastAsia="仿宋" w:cs="仿宋"/>
          <w:color w:val="auto"/>
          <w:sz w:val="32"/>
          <w:szCs w:val="32"/>
          <w:lang w:val="zh-TW"/>
        </w:rPr>
        <w:t>，</w:t>
      </w:r>
      <w:r>
        <w:rPr>
          <w:rFonts w:hint="eastAsia" w:ascii="仿宋" w:hAnsi="仿宋" w:eastAsia="仿宋" w:cs="仿宋"/>
          <w:color w:val="auto"/>
          <w:sz w:val="32"/>
          <w:szCs w:val="32"/>
          <w:lang w:val="zh-TW" w:eastAsia="zh-TW"/>
        </w:rPr>
        <w:t>结合业务开展实际情况，运用定性分析和定量分析相结合的方法，确保风险评价有理可循、有据可依。</w:t>
      </w:r>
    </w:p>
    <w:p>
      <w:pPr>
        <w:pStyle w:val="19"/>
        <w:widowControl w:val="0"/>
        <w:tabs>
          <w:tab w:val="left" w:pos="949"/>
        </w:tabs>
        <w:wordWrap/>
        <w:adjustRightInd/>
        <w:snapToGrid/>
        <w:spacing w:line="590" w:lineRule="exact"/>
        <w:ind w:left="0" w:leftChars="0" w:right="0" w:firstLine="643" w:firstLineChars="200"/>
        <w:jc w:val="both"/>
        <w:textAlignment w:val="auto"/>
        <w:rPr>
          <w:rFonts w:ascii="楷体" w:hAnsi="楷体" w:eastAsia="楷体" w:cs="楷体"/>
          <w:b/>
          <w:bCs/>
          <w:color w:val="auto"/>
          <w:sz w:val="32"/>
          <w:szCs w:val="32"/>
          <w:lang w:val="zh-TW" w:eastAsia="zh-TW"/>
        </w:rPr>
      </w:pPr>
      <w:r>
        <w:rPr>
          <w:rFonts w:hint="eastAsia" w:ascii="楷体" w:hAnsi="楷体" w:eastAsia="楷体" w:cs="楷体"/>
          <w:b/>
          <w:bCs/>
          <w:color w:val="auto"/>
          <w:sz w:val="32"/>
          <w:szCs w:val="32"/>
        </w:rPr>
        <w:t>（二）</w:t>
      </w:r>
      <w:r>
        <w:rPr>
          <w:rFonts w:hint="eastAsia" w:ascii="楷体" w:hAnsi="楷体" w:eastAsia="楷体" w:cs="楷体"/>
          <w:b/>
          <w:bCs/>
          <w:color w:val="auto"/>
          <w:sz w:val="32"/>
          <w:szCs w:val="32"/>
          <w:lang w:val="zh-TW" w:eastAsia="zh-TW"/>
        </w:rPr>
        <w:t>管理</w:t>
      </w:r>
      <w:r>
        <w:rPr>
          <w:rFonts w:hint="eastAsia" w:ascii="楷体" w:hAnsi="楷体" w:eastAsia="楷体" w:cs="楷体"/>
          <w:b/>
          <w:bCs/>
          <w:color w:val="auto"/>
          <w:sz w:val="32"/>
          <w:szCs w:val="32"/>
          <w:lang w:val="zh-TW" w:eastAsia="zh-CN"/>
        </w:rPr>
        <w:t>和控制</w:t>
      </w:r>
      <w:r>
        <w:rPr>
          <w:rFonts w:hint="eastAsia" w:ascii="楷体" w:hAnsi="楷体" w:eastAsia="楷体" w:cs="楷体"/>
          <w:b/>
          <w:bCs/>
          <w:color w:val="auto"/>
          <w:sz w:val="32"/>
          <w:szCs w:val="32"/>
          <w:lang w:val="zh-TW" w:eastAsia="zh-TW"/>
        </w:rPr>
        <w:t>环境风险的流程</w:t>
      </w:r>
    </w:p>
    <w:p>
      <w:pPr>
        <w:pStyle w:val="19"/>
        <w:widowControl w:val="0"/>
        <w:tabs>
          <w:tab w:val="left" w:pos="949"/>
        </w:tabs>
        <w:wordWrap/>
        <w:adjustRightInd/>
        <w:snapToGrid/>
        <w:spacing w:line="590" w:lineRule="exact"/>
        <w:ind w:left="0" w:leftChars="0" w:right="0" w:firstLine="640" w:firstLineChars="200"/>
        <w:jc w:val="both"/>
        <w:textAlignment w:val="auto"/>
        <w:rPr>
          <w:rFonts w:ascii="仿宋" w:hAnsi="仿宋" w:eastAsia="仿宋" w:cs="仿宋"/>
          <w:color w:val="auto"/>
          <w:sz w:val="32"/>
          <w:szCs w:val="32"/>
          <w:lang w:val="zh-TW" w:eastAsia="zh-TW"/>
        </w:rPr>
      </w:pPr>
      <w:r>
        <w:rPr>
          <w:rFonts w:hint="eastAsia" w:ascii="仿宋" w:hAnsi="仿宋" w:eastAsia="仿宋" w:cs="仿宋"/>
          <w:color w:val="auto"/>
          <w:sz w:val="32"/>
          <w:szCs w:val="32"/>
          <w:lang w:val="zh-TW" w:eastAsia="zh-TW"/>
        </w:rPr>
        <w:t>根据《绵阳市商业银行股份有限公司202</w:t>
      </w:r>
      <w:r>
        <w:rPr>
          <w:rFonts w:hint="eastAsia" w:ascii="仿宋" w:hAnsi="仿宋" w:eastAsia="仿宋" w:cs="仿宋"/>
          <w:color w:val="auto"/>
          <w:sz w:val="32"/>
          <w:szCs w:val="32"/>
        </w:rPr>
        <w:t>0</w:t>
      </w:r>
      <w:r>
        <w:rPr>
          <w:rFonts w:hint="eastAsia" w:ascii="仿宋" w:hAnsi="仿宋" w:eastAsia="仿宋" w:cs="仿宋"/>
          <w:color w:val="auto"/>
          <w:sz w:val="32"/>
          <w:szCs w:val="32"/>
          <w:lang w:val="zh-TW" w:eastAsia="zh-TW"/>
        </w:rPr>
        <w:t>年授信政策指引》</w:t>
      </w:r>
      <w:r>
        <w:rPr>
          <w:rFonts w:hint="eastAsia" w:ascii="仿宋" w:hAnsi="仿宋" w:eastAsia="仿宋" w:cs="仿宋"/>
          <w:color w:val="auto"/>
          <w:sz w:val="32"/>
          <w:szCs w:val="32"/>
          <w:lang w:val="zh-TW"/>
        </w:rPr>
        <w:t>（绵商银发〔2020〕82号）</w:t>
      </w:r>
      <w:r>
        <w:rPr>
          <w:rFonts w:hint="eastAsia" w:ascii="仿宋" w:hAnsi="仿宋" w:eastAsia="仿宋" w:cs="仿宋"/>
          <w:color w:val="auto"/>
          <w:sz w:val="32"/>
          <w:szCs w:val="32"/>
          <w:lang w:val="zh-TW" w:eastAsia="zh-TW"/>
        </w:rPr>
        <w:t>、《绵阳市商业银行股份有限公司绿色信贷业务管理办法》</w:t>
      </w:r>
      <w:r>
        <w:rPr>
          <w:rFonts w:hint="eastAsia" w:ascii="仿宋" w:hAnsi="仿宋" w:eastAsia="仿宋" w:cs="仿宋"/>
          <w:color w:val="000000"/>
          <w:sz w:val="32"/>
          <w:szCs w:val="32"/>
        </w:rPr>
        <w:t>（绵商银发〔2019〕353号）</w:t>
      </w:r>
      <w:r>
        <w:rPr>
          <w:rFonts w:hint="eastAsia" w:ascii="仿宋" w:hAnsi="仿宋" w:eastAsia="仿宋" w:cs="仿宋"/>
          <w:color w:val="auto"/>
          <w:sz w:val="32"/>
          <w:szCs w:val="32"/>
          <w:lang w:val="zh-TW" w:eastAsia="zh-TW"/>
        </w:rPr>
        <w:t>，本行绿色信贷业务环境风险管理流程如下：</w:t>
      </w:r>
    </w:p>
    <w:p>
      <w:pPr>
        <w:pStyle w:val="19"/>
        <w:widowControl w:val="0"/>
        <w:tabs>
          <w:tab w:val="left" w:pos="949"/>
        </w:tabs>
        <w:wordWrap/>
        <w:adjustRightInd/>
        <w:snapToGrid/>
        <w:spacing w:line="590" w:lineRule="exact"/>
        <w:ind w:left="0" w:leftChars="0" w:right="0" w:firstLine="643" w:firstLineChars="200"/>
        <w:jc w:val="both"/>
        <w:textAlignment w:val="auto"/>
        <w:rPr>
          <w:rFonts w:ascii="仿宋" w:hAnsi="仿宋" w:eastAsia="仿宋" w:cs="仿宋"/>
          <w:color w:val="auto"/>
          <w:sz w:val="32"/>
          <w:szCs w:val="32"/>
          <w:lang w:val="zh-TW" w:eastAsia="zh-TW"/>
        </w:rPr>
      </w:pPr>
      <w:r>
        <w:rPr>
          <w:rFonts w:hint="eastAsia" w:ascii="仿宋" w:hAnsi="仿宋" w:eastAsia="仿宋" w:cs="仿宋"/>
          <w:b/>
          <w:color w:val="auto"/>
          <w:sz w:val="32"/>
          <w:szCs w:val="32"/>
          <w:lang w:val="zh-TW" w:eastAsia="zh-TW"/>
        </w:rPr>
        <w:t>1.贷前调查阶段</w:t>
      </w:r>
      <w:r>
        <w:rPr>
          <w:rFonts w:hint="eastAsia" w:ascii="仿宋" w:hAnsi="仿宋" w:eastAsia="仿宋" w:cs="仿宋"/>
          <w:b/>
          <w:color w:val="auto"/>
          <w:sz w:val="32"/>
          <w:szCs w:val="32"/>
          <w:lang w:val="zh-TW"/>
        </w:rPr>
        <w:t>。</w:t>
      </w:r>
      <w:r>
        <w:rPr>
          <w:rFonts w:hint="eastAsia" w:ascii="仿宋" w:hAnsi="仿宋" w:eastAsia="仿宋" w:cs="仿宋"/>
          <w:color w:val="auto"/>
          <w:sz w:val="32"/>
          <w:szCs w:val="32"/>
          <w:lang w:val="zh-TW" w:eastAsia="zh-TW"/>
        </w:rPr>
        <w:t>完善授信前尽职调查制度，将环境和社会风险调查作为尽职调查的重要内容。</w:t>
      </w:r>
    </w:p>
    <w:p>
      <w:pPr>
        <w:pStyle w:val="19"/>
        <w:widowControl w:val="0"/>
        <w:tabs>
          <w:tab w:val="left" w:pos="949"/>
        </w:tabs>
        <w:wordWrap/>
        <w:adjustRightInd/>
        <w:snapToGrid/>
        <w:spacing w:line="590" w:lineRule="exact"/>
        <w:ind w:left="0" w:leftChars="0" w:right="0" w:firstLine="643" w:firstLineChars="200"/>
        <w:jc w:val="both"/>
        <w:textAlignment w:val="auto"/>
        <w:rPr>
          <w:rFonts w:ascii="仿宋" w:hAnsi="仿宋" w:eastAsia="仿宋" w:cs="仿宋"/>
          <w:color w:val="auto"/>
          <w:sz w:val="32"/>
          <w:szCs w:val="32"/>
          <w:lang w:val="zh-TW" w:eastAsia="zh-TW"/>
        </w:rPr>
      </w:pPr>
      <w:r>
        <w:rPr>
          <w:rFonts w:hint="eastAsia" w:ascii="仿宋" w:hAnsi="仿宋" w:eastAsia="仿宋" w:cs="仿宋"/>
          <w:b/>
          <w:color w:val="auto"/>
          <w:sz w:val="32"/>
          <w:szCs w:val="32"/>
          <w:lang w:val="zh-TW" w:eastAsia="zh-TW"/>
        </w:rPr>
        <w:t>2.授信业务准入</w:t>
      </w:r>
      <w:r>
        <w:rPr>
          <w:rFonts w:hint="eastAsia" w:ascii="仿宋" w:hAnsi="仿宋" w:eastAsia="仿宋" w:cs="仿宋"/>
          <w:b/>
          <w:color w:val="auto"/>
          <w:sz w:val="32"/>
          <w:szCs w:val="32"/>
          <w:lang w:val="zh-TW"/>
        </w:rPr>
        <w:t>。</w:t>
      </w:r>
      <w:r>
        <w:rPr>
          <w:rFonts w:hint="eastAsia" w:ascii="仿宋" w:hAnsi="仿宋" w:eastAsia="仿宋" w:cs="仿宋"/>
          <w:color w:val="000000"/>
          <w:sz w:val="32"/>
          <w:szCs w:val="32"/>
          <w:lang w:val="zh-TW" w:eastAsia="zh-TW"/>
        </w:rPr>
        <w:t>（1）《绵阳市商业银行股份有限公司2020年授信政策指引》</w:t>
      </w:r>
      <w:r>
        <w:rPr>
          <w:rFonts w:hint="eastAsia" w:ascii="仿宋" w:hAnsi="仿宋" w:eastAsia="仿宋" w:cs="仿宋"/>
          <w:color w:val="000000"/>
          <w:sz w:val="32"/>
          <w:szCs w:val="32"/>
          <w:lang w:val="zh-TW"/>
        </w:rPr>
        <w:t>（绵商银发〔2020〕82号）</w:t>
      </w:r>
      <w:r>
        <w:rPr>
          <w:rFonts w:hint="eastAsia" w:ascii="仿宋" w:hAnsi="仿宋" w:eastAsia="仿宋" w:cs="仿宋"/>
          <w:color w:val="auto"/>
          <w:sz w:val="32"/>
          <w:szCs w:val="32"/>
          <w:lang w:val="zh-TW" w:eastAsia="zh-TW"/>
        </w:rPr>
        <w:t>中已制定绿色金融授信政策，明确绿色信贷支持方向。（2）对用于支持绿色、低碳、循环经济的授信审批，在时间和流程上同等条件下优先审批。对存在重大环境和社会风险的客户实行名单制、差异化管理，对进入名单制的客户，针对其面临的环境和社会风险的特点，要求其采取有针对性的风险缓释，包括制定并落实重大风险应对预案，建立充分、有效的利益相关方沟通机制，寻求第三方分担环境和社会风险等。本行对支持节能环保、新能源、新能源汽车等战略新</w:t>
      </w:r>
      <w:r>
        <w:rPr>
          <w:rFonts w:hint="eastAsia" w:ascii="仿宋" w:hAnsi="仿宋" w:eastAsia="仿宋" w:cs="仿宋"/>
          <w:color w:val="auto"/>
          <w:sz w:val="32"/>
          <w:szCs w:val="32"/>
          <w:lang w:val="zh-TW" w:eastAsia="zh-CN"/>
        </w:rPr>
        <w:t>兴</w:t>
      </w:r>
      <w:r>
        <w:rPr>
          <w:rFonts w:hint="eastAsia" w:ascii="仿宋" w:hAnsi="仿宋" w:eastAsia="仿宋" w:cs="仿宋"/>
          <w:color w:val="auto"/>
          <w:sz w:val="32"/>
          <w:szCs w:val="32"/>
          <w:lang w:val="zh-TW" w:eastAsia="zh-TW"/>
        </w:rPr>
        <w:t>产</w:t>
      </w:r>
      <w:r>
        <w:rPr>
          <w:rFonts w:hint="eastAsia" w:ascii="仿宋" w:hAnsi="仿宋" w:eastAsia="仿宋" w:cs="仿宋"/>
          <w:color w:val="auto"/>
          <w:sz w:val="32"/>
          <w:szCs w:val="32"/>
          <w:lang w:val="zh-TW" w:eastAsia="zh-CN"/>
        </w:rPr>
        <w:t>业</w:t>
      </w:r>
      <w:r>
        <w:rPr>
          <w:rFonts w:hint="eastAsia" w:ascii="仿宋" w:hAnsi="仿宋" w:eastAsia="仿宋" w:cs="仿宋"/>
          <w:color w:val="auto"/>
          <w:sz w:val="32"/>
          <w:szCs w:val="32"/>
          <w:lang w:val="zh-TW" w:eastAsia="zh-TW"/>
        </w:rPr>
        <w:t>以及</w:t>
      </w:r>
      <w:r>
        <w:rPr>
          <w:rFonts w:hint="eastAsia" w:ascii="仿宋" w:hAnsi="仿宋" w:eastAsia="仿宋" w:cs="仿宋"/>
          <w:color w:val="auto"/>
          <w:sz w:val="32"/>
          <w:szCs w:val="32"/>
          <w:lang w:val="zh-TW" w:eastAsia="zh-CN"/>
        </w:rPr>
        <w:t>为</w:t>
      </w:r>
      <w:r>
        <w:rPr>
          <w:rFonts w:hint="eastAsia" w:ascii="仿宋" w:hAnsi="仿宋" w:eastAsia="仿宋" w:cs="仿宋"/>
          <w:color w:val="auto"/>
          <w:sz w:val="32"/>
          <w:szCs w:val="32"/>
          <w:lang w:val="zh-TW" w:eastAsia="zh-TW"/>
        </w:rPr>
        <w:t>节能环保项目和服务所提供的绿色信贷产品和服务，在风险可控、商业可持续的原则下采用优先进入相关流程、简化程序、适当扩大授权等方式为其研发、审批、推广提供“绿色”通道。（3）对环境和社会表现不合规的客户，应当不予授信。</w:t>
      </w:r>
    </w:p>
    <w:p>
      <w:pPr>
        <w:pStyle w:val="19"/>
        <w:widowControl w:val="0"/>
        <w:tabs>
          <w:tab w:val="left" w:pos="949"/>
        </w:tabs>
        <w:wordWrap/>
        <w:adjustRightInd/>
        <w:snapToGrid/>
        <w:spacing w:line="590" w:lineRule="exact"/>
        <w:ind w:left="0" w:leftChars="0" w:right="0" w:firstLine="643" w:firstLineChars="200"/>
        <w:jc w:val="both"/>
        <w:textAlignment w:val="auto"/>
        <w:rPr>
          <w:rFonts w:ascii="仿宋" w:hAnsi="仿宋" w:eastAsia="仿宋" w:cs="仿宋"/>
          <w:color w:val="auto"/>
          <w:sz w:val="32"/>
          <w:szCs w:val="32"/>
          <w:lang w:val="zh-TW" w:eastAsia="zh-TW"/>
        </w:rPr>
      </w:pPr>
      <w:r>
        <w:rPr>
          <w:rFonts w:hint="eastAsia" w:ascii="仿宋" w:hAnsi="仿宋" w:eastAsia="仿宋" w:cs="仿宋"/>
          <w:b/>
          <w:color w:val="auto"/>
          <w:sz w:val="32"/>
          <w:szCs w:val="32"/>
          <w:lang w:val="zh-TW" w:eastAsia="zh-TW"/>
        </w:rPr>
        <w:t>3.放款审核</w:t>
      </w:r>
      <w:r>
        <w:rPr>
          <w:rFonts w:hint="eastAsia" w:ascii="仿宋" w:hAnsi="仿宋" w:eastAsia="仿宋" w:cs="仿宋"/>
          <w:b/>
          <w:color w:val="auto"/>
          <w:sz w:val="32"/>
          <w:szCs w:val="32"/>
          <w:lang w:val="zh-TW"/>
        </w:rPr>
        <w:t>。</w:t>
      </w:r>
      <w:r>
        <w:rPr>
          <w:rFonts w:hint="eastAsia" w:ascii="仿宋" w:hAnsi="仿宋" w:eastAsia="仿宋" w:cs="仿宋"/>
          <w:color w:val="auto"/>
          <w:sz w:val="32"/>
          <w:szCs w:val="32"/>
          <w:lang w:val="zh-TW" w:eastAsia="zh-TW"/>
        </w:rPr>
        <w:t>对申请放款项目进行审核，通过多种渠道关注客户的风险隐患；对存在重大风险隐患的，放款审核人员予以上报；经上报确认存在重大风险隐患的，中止直至终止信贷资金拨付。</w:t>
      </w:r>
    </w:p>
    <w:p>
      <w:pPr>
        <w:pStyle w:val="19"/>
        <w:widowControl w:val="0"/>
        <w:tabs>
          <w:tab w:val="left" w:pos="949"/>
        </w:tabs>
        <w:wordWrap/>
        <w:adjustRightInd/>
        <w:snapToGrid/>
        <w:spacing w:line="590" w:lineRule="exact"/>
        <w:ind w:left="0" w:leftChars="0" w:right="0" w:firstLine="643" w:firstLineChars="200"/>
        <w:jc w:val="both"/>
        <w:textAlignment w:val="auto"/>
        <w:rPr>
          <w:rFonts w:ascii="仿宋" w:hAnsi="仿宋" w:eastAsia="仿宋" w:cs="仿宋"/>
          <w:color w:val="auto"/>
          <w:sz w:val="32"/>
          <w:szCs w:val="32"/>
          <w:lang w:val="zh-TW" w:eastAsia="zh-TW"/>
        </w:rPr>
      </w:pPr>
      <w:r>
        <w:rPr>
          <w:rFonts w:hint="eastAsia" w:ascii="仿宋" w:hAnsi="仿宋" w:eastAsia="仿宋" w:cs="仿宋"/>
          <w:b/>
          <w:color w:val="auto"/>
          <w:sz w:val="32"/>
          <w:szCs w:val="32"/>
          <w:lang w:val="zh-TW" w:eastAsia="zh-TW"/>
        </w:rPr>
        <w:t>4.贷后管理</w:t>
      </w:r>
      <w:r>
        <w:rPr>
          <w:rFonts w:hint="eastAsia" w:ascii="仿宋" w:hAnsi="仿宋" w:eastAsia="仿宋" w:cs="仿宋"/>
          <w:b/>
          <w:color w:val="auto"/>
          <w:sz w:val="32"/>
          <w:szCs w:val="32"/>
          <w:lang w:val="zh-TW"/>
        </w:rPr>
        <w:t>。</w:t>
      </w:r>
      <w:r>
        <w:rPr>
          <w:rFonts w:hint="eastAsia" w:ascii="仿宋" w:hAnsi="仿宋" w:eastAsia="仿宋" w:cs="仿宋"/>
          <w:color w:val="auto"/>
          <w:sz w:val="32"/>
          <w:szCs w:val="32"/>
          <w:lang w:val="zh-TW" w:eastAsia="zh-TW"/>
        </w:rPr>
        <w:t>（1）密切关注客户经营状况，将客户环境风险信息收集、识别分类等工作纳入贷后存续期管理流程，加强动态分析，并在资产风险分类、准备计提、损失核销等方面及时</w:t>
      </w:r>
      <w:r>
        <w:rPr>
          <w:rFonts w:hint="eastAsia" w:ascii="仿宋" w:hAnsi="仿宋" w:eastAsia="仿宋" w:cs="仿宋"/>
          <w:color w:val="auto"/>
          <w:sz w:val="32"/>
          <w:szCs w:val="32"/>
          <w:lang w:val="zh-TW" w:eastAsia="zh-CN"/>
        </w:rPr>
        <w:t>作</w:t>
      </w:r>
      <w:r>
        <w:rPr>
          <w:rFonts w:hint="eastAsia" w:ascii="仿宋" w:hAnsi="仿宋" w:eastAsia="仿宋" w:cs="仿宋"/>
          <w:color w:val="auto"/>
          <w:sz w:val="32"/>
          <w:szCs w:val="32"/>
          <w:lang w:val="zh-TW" w:eastAsia="zh-TW"/>
        </w:rPr>
        <w:t>调整。（2）根据政策变化，采取不同的环境和社会风险的预警及应对机制。</w:t>
      </w:r>
    </w:p>
    <w:p>
      <w:pPr>
        <w:pStyle w:val="19"/>
        <w:widowControl w:val="0"/>
        <w:tabs>
          <w:tab w:val="left" w:pos="949"/>
        </w:tabs>
        <w:wordWrap/>
        <w:adjustRightInd/>
        <w:snapToGrid/>
        <w:spacing w:line="590" w:lineRule="exact"/>
        <w:ind w:left="0" w:leftChars="0" w:right="0" w:firstLine="640" w:firstLineChars="200"/>
        <w:jc w:val="both"/>
        <w:textAlignment w:val="auto"/>
        <w:rPr>
          <w:rFonts w:ascii="仿宋" w:hAnsi="仿宋" w:eastAsia="仿宋" w:cs="仿宋"/>
          <w:color w:val="auto"/>
          <w:sz w:val="32"/>
          <w:szCs w:val="32"/>
          <w:lang w:val="zh-TW" w:eastAsia="zh-TW"/>
        </w:rPr>
      </w:pPr>
      <w:r>
        <w:rPr>
          <w:rFonts w:hint="eastAsia" w:ascii="仿宋" w:hAnsi="仿宋" w:eastAsia="仿宋" w:cs="仿宋"/>
          <w:color w:val="auto"/>
          <w:sz w:val="32"/>
          <w:szCs w:val="32"/>
          <w:lang w:val="zh-TW" w:eastAsia="zh-TW"/>
        </w:rPr>
        <w:t>此外，根据</w:t>
      </w:r>
      <w:r>
        <w:rPr>
          <w:rFonts w:hint="eastAsia" w:ascii="仿宋" w:hAnsi="仿宋" w:eastAsia="仿宋" w:cs="仿宋"/>
          <w:color w:val="000000"/>
          <w:sz w:val="32"/>
          <w:szCs w:val="32"/>
          <w:lang w:val="zh-TW" w:eastAsia="zh-CN"/>
        </w:rPr>
        <w:t>监管</w:t>
      </w:r>
      <w:r>
        <w:rPr>
          <w:rFonts w:hint="eastAsia" w:ascii="仿宋" w:hAnsi="仿宋" w:eastAsia="仿宋" w:cs="仿宋"/>
          <w:color w:val="auto"/>
          <w:sz w:val="32"/>
          <w:szCs w:val="32"/>
          <w:lang w:val="zh-TW" w:eastAsia="zh-TW"/>
        </w:rPr>
        <w:t>要求，本行在信贷合同中增加了环境条款。本行借款合同条款明确：甲方应加强自身及重要关联方的环境和社会风险管理，严格遵守有关环境和社会风险管理的法律、法规与规章</w:t>
      </w:r>
      <w:r>
        <w:rPr>
          <w:rFonts w:hint="eastAsia" w:ascii="仿宋" w:hAnsi="仿宋" w:eastAsia="仿宋" w:cs="仿宋"/>
          <w:color w:val="auto"/>
          <w:sz w:val="32"/>
          <w:szCs w:val="32"/>
          <w:lang w:val="zh-TW"/>
        </w:rPr>
        <w:t>；</w:t>
      </w:r>
      <w:r>
        <w:rPr>
          <w:rFonts w:hint="eastAsia" w:ascii="仿宋" w:hAnsi="仿宋" w:eastAsia="仿宋" w:cs="仿宋"/>
          <w:color w:val="auto"/>
          <w:sz w:val="32"/>
          <w:szCs w:val="32"/>
          <w:lang w:val="zh-TW" w:eastAsia="zh-TW"/>
        </w:rPr>
        <w:t>甲方及甲方重要关联方不存在任何违反环境和社会风险管理的法律、法规与规章的行为或情形，杜绝在建设、生产、经营活动中给环境和社会带来危害及相关风险（包括但不限于与耗能、污染、土地、健康、安全、移民安置、生态保护、节能减排、气候变化等有关的环境与社会问题）。</w:t>
      </w:r>
    </w:p>
    <w:p>
      <w:pPr>
        <w:pStyle w:val="19"/>
        <w:widowControl w:val="0"/>
        <w:tabs>
          <w:tab w:val="left" w:pos="949"/>
        </w:tabs>
        <w:wordWrap/>
        <w:adjustRightInd/>
        <w:snapToGrid/>
        <w:spacing w:line="590" w:lineRule="exact"/>
        <w:ind w:left="0" w:leftChars="0" w:right="0" w:firstLine="643" w:firstLineChars="200"/>
        <w:jc w:val="both"/>
        <w:textAlignment w:val="auto"/>
        <w:rPr>
          <w:rFonts w:ascii="楷体" w:hAnsi="楷体" w:eastAsia="楷体" w:cs="楷体"/>
          <w:b/>
          <w:bCs/>
          <w:color w:val="auto"/>
          <w:sz w:val="32"/>
          <w:szCs w:val="32"/>
          <w:lang w:val="zh-TW" w:eastAsia="zh-TW"/>
        </w:rPr>
      </w:pPr>
      <w:r>
        <w:rPr>
          <w:rFonts w:hint="eastAsia" w:ascii="楷体" w:hAnsi="楷体" w:eastAsia="楷体" w:cs="楷体"/>
          <w:b/>
          <w:bCs/>
          <w:color w:val="auto"/>
          <w:sz w:val="32"/>
          <w:szCs w:val="32"/>
        </w:rPr>
        <w:t>（三）</w:t>
      </w:r>
      <w:r>
        <w:rPr>
          <w:rFonts w:hint="eastAsia" w:ascii="楷体" w:hAnsi="楷体" w:eastAsia="楷体" w:cs="楷体"/>
          <w:b/>
          <w:bCs/>
          <w:color w:val="auto"/>
          <w:sz w:val="32"/>
          <w:szCs w:val="32"/>
          <w:lang w:eastAsia="zh-CN"/>
        </w:rPr>
        <w:t>将</w:t>
      </w:r>
      <w:r>
        <w:rPr>
          <w:rFonts w:hint="eastAsia" w:ascii="楷体" w:hAnsi="楷体" w:eastAsia="楷体" w:cs="楷体"/>
          <w:b/>
          <w:bCs/>
          <w:color w:val="auto"/>
          <w:sz w:val="32"/>
          <w:szCs w:val="32"/>
          <w:lang w:val="zh-TW" w:eastAsia="zh-TW"/>
        </w:rPr>
        <w:t>识别、评估和管理环境风险与整体风险管理相融合</w:t>
      </w:r>
    </w:p>
    <w:p>
      <w:pPr>
        <w:pStyle w:val="19"/>
        <w:widowControl w:val="0"/>
        <w:tabs>
          <w:tab w:val="left" w:pos="949"/>
        </w:tabs>
        <w:wordWrap/>
        <w:adjustRightInd/>
        <w:snapToGrid/>
        <w:spacing w:line="590" w:lineRule="exact"/>
        <w:ind w:left="0" w:leftChars="0" w:right="0" w:firstLine="640" w:firstLineChars="200"/>
        <w:jc w:val="both"/>
        <w:textAlignment w:val="auto"/>
        <w:rPr>
          <w:rFonts w:ascii="仿宋" w:hAnsi="仿宋" w:eastAsia="仿宋" w:cs="仿宋"/>
          <w:color w:val="auto"/>
          <w:sz w:val="32"/>
          <w:szCs w:val="32"/>
          <w:lang w:val="zh-TW" w:eastAsia="zh-TW"/>
        </w:rPr>
      </w:pPr>
      <w:r>
        <w:rPr>
          <w:rFonts w:hint="eastAsia" w:ascii="仿宋" w:hAnsi="仿宋" w:eastAsia="仿宋" w:cs="仿宋"/>
          <w:color w:val="auto"/>
          <w:sz w:val="32"/>
          <w:szCs w:val="32"/>
          <w:lang w:val="zh-TW" w:eastAsia="zh-TW"/>
        </w:rPr>
        <w:t>根据</w:t>
      </w:r>
      <w:r>
        <w:rPr>
          <w:rFonts w:hint="eastAsia" w:ascii="仿宋" w:hAnsi="仿宋" w:eastAsia="仿宋" w:cs="仿宋"/>
          <w:color w:val="000000"/>
          <w:sz w:val="32"/>
          <w:szCs w:val="32"/>
          <w:lang w:val="zh-TW"/>
        </w:rPr>
        <w:t>中国银监会发布的</w:t>
      </w:r>
      <w:r>
        <w:rPr>
          <w:rFonts w:hint="eastAsia" w:ascii="仿宋" w:hAnsi="仿宋" w:eastAsia="仿宋" w:cs="仿宋"/>
          <w:color w:val="000000"/>
          <w:sz w:val="32"/>
          <w:szCs w:val="32"/>
          <w:lang w:val="zh-TW" w:eastAsia="zh-TW"/>
        </w:rPr>
        <w:t>《银行业金融机构全面风险管理指引》</w:t>
      </w:r>
      <w:r>
        <w:rPr>
          <w:rFonts w:hint="eastAsia" w:ascii="仿宋" w:hAnsi="仿宋" w:eastAsia="仿宋" w:cs="仿宋"/>
          <w:color w:val="000000"/>
          <w:sz w:val="32"/>
          <w:szCs w:val="32"/>
          <w:lang w:val="zh-TW"/>
        </w:rPr>
        <w:t>（银监发〔</w:t>
      </w:r>
      <w:r>
        <w:rPr>
          <w:rFonts w:hint="eastAsia" w:ascii="仿宋" w:hAnsi="仿宋" w:eastAsia="仿宋" w:cs="仿宋"/>
          <w:color w:val="000000"/>
          <w:sz w:val="32"/>
          <w:szCs w:val="32"/>
        </w:rPr>
        <w:t>2016</w:t>
      </w:r>
      <w:r>
        <w:rPr>
          <w:rFonts w:hint="eastAsia" w:ascii="仿宋" w:hAnsi="仿宋" w:eastAsia="仿宋" w:cs="仿宋"/>
          <w:color w:val="000000"/>
          <w:sz w:val="32"/>
          <w:szCs w:val="32"/>
          <w:lang w:val="zh-TW"/>
        </w:rPr>
        <w:t>〕</w:t>
      </w:r>
      <w:r>
        <w:rPr>
          <w:rFonts w:hint="eastAsia" w:ascii="仿宋" w:hAnsi="仿宋" w:eastAsia="仿宋" w:cs="仿宋"/>
          <w:color w:val="000000"/>
          <w:sz w:val="32"/>
          <w:szCs w:val="32"/>
        </w:rPr>
        <w:t>第44号</w:t>
      </w:r>
      <w:r>
        <w:rPr>
          <w:rFonts w:hint="eastAsia" w:ascii="仿宋" w:hAnsi="仿宋" w:eastAsia="仿宋" w:cs="仿宋"/>
          <w:color w:val="000000"/>
          <w:sz w:val="32"/>
          <w:szCs w:val="32"/>
          <w:lang w:val="zh-TW"/>
        </w:rPr>
        <w:t>）</w:t>
      </w:r>
      <w:r>
        <w:rPr>
          <w:rFonts w:hint="eastAsia" w:ascii="仿宋" w:hAnsi="仿宋" w:eastAsia="仿宋" w:cs="仿宋"/>
          <w:color w:val="000000"/>
          <w:sz w:val="32"/>
          <w:szCs w:val="32"/>
          <w:lang w:val="zh-TW" w:eastAsia="zh-TW"/>
        </w:rPr>
        <w:t>，</w:t>
      </w:r>
      <w:r>
        <w:rPr>
          <w:rFonts w:hint="eastAsia" w:ascii="仿宋" w:hAnsi="仿宋" w:eastAsia="仿宋" w:cs="仿宋"/>
          <w:color w:val="auto"/>
          <w:sz w:val="32"/>
          <w:szCs w:val="32"/>
          <w:lang w:val="zh-TW" w:eastAsia="zh-TW"/>
        </w:rPr>
        <w:t>银行业金融机构应当建立全面风险管理体系，应当考虑风险之间的关联性，审慎评估各类风险之间的相互影响，防范跨境、跨业风险。本行识别、评估和管理环境风险的流程归属于信用风险管理类别，202</w:t>
      </w:r>
      <w:r>
        <w:rPr>
          <w:rFonts w:hint="eastAsia" w:ascii="仿宋" w:hAnsi="仿宋" w:eastAsia="仿宋" w:cs="仿宋"/>
          <w:color w:val="auto"/>
          <w:sz w:val="32"/>
          <w:szCs w:val="32"/>
        </w:rPr>
        <w:t>0</w:t>
      </w:r>
      <w:r>
        <w:rPr>
          <w:rFonts w:hint="eastAsia" w:ascii="仿宋" w:hAnsi="仿宋" w:eastAsia="仿宋" w:cs="仿宋"/>
          <w:color w:val="auto"/>
          <w:sz w:val="32"/>
          <w:szCs w:val="32"/>
          <w:lang w:val="zh-TW" w:eastAsia="zh-TW"/>
        </w:rPr>
        <w:t>年信用风险偏好中明确阐述：202</w:t>
      </w:r>
      <w:r>
        <w:rPr>
          <w:rFonts w:hint="eastAsia" w:ascii="仿宋" w:hAnsi="仿宋" w:eastAsia="仿宋" w:cs="仿宋"/>
          <w:color w:val="auto"/>
          <w:sz w:val="32"/>
          <w:szCs w:val="32"/>
        </w:rPr>
        <w:t>0</w:t>
      </w:r>
      <w:r>
        <w:rPr>
          <w:rFonts w:hint="eastAsia" w:ascii="仿宋" w:hAnsi="仿宋" w:eastAsia="仿宋" w:cs="仿宋"/>
          <w:color w:val="auto"/>
          <w:sz w:val="32"/>
          <w:szCs w:val="32"/>
          <w:lang w:val="zh-TW" w:eastAsia="zh-TW"/>
        </w:rPr>
        <w:t>年，本行继续有效服务实体经济，提升先进制造业、战略新兴产业服务质效；大力发展绿色金融，构建多元化绿色金融体系。</w:t>
      </w:r>
    </w:p>
    <w:p>
      <w:pPr>
        <w:pStyle w:val="19"/>
        <w:widowControl w:val="0"/>
        <w:tabs>
          <w:tab w:val="left" w:pos="949"/>
        </w:tabs>
        <w:wordWrap/>
        <w:adjustRightInd/>
        <w:snapToGrid/>
        <w:spacing w:line="590" w:lineRule="exact"/>
        <w:ind w:left="0" w:leftChars="0" w:right="0" w:firstLine="640" w:firstLineChars="200"/>
        <w:jc w:val="both"/>
        <w:textAlignment w:val="auto"/>
        <w:rPr>
          <w:rFonts w:ascii="仿宋" w:hAnsi="仿宋" w:eastAsia="仿宋" w:cs="仿宋"/>
          <w:color w:val="auto"/>
          <w:sz w:val="32"/>
          <w:szCs w:val="32"/>
          <w:lang w:val="zh-TW" w:eastAsia="zh-TW"/>
        </w:rPr>
      </w:pPr>
      <w:r>
        <w:rPr>
          <w:rFonts w:hint="eastAsia" w:ascii="仿宋" w:hAnsi="仿宋" w:eastAsia="仿宋" w:cs="仿宋"/>
          <w:color w:val="auto"/>
          <w:sz w:val="32"/>
          <w:szCs w:val="32"/>
          <w:lang w:val="zh-TW" w:eastAsia="zh-TW"/>
        </w:rPr>
        <w:t>为有效践行风险偏好，本行积极开展绿色信贷工作，加大对绿色经济、低碳经济、循环经济的支持，防范环境和社会风险，提升自身的环境和社会表现，并以此优化信贷结构，提升服务质效，通过业务办理流程中的风险把控，充分考虑信用风险、操作风险、合规风险之间的传染、影响，</w:t>
      </w:r>
      <w:r>
        <w:rPr>
          <w:rFonts w:hint="eastAsia" w:ascii="仿宋" w:hAnsi="仿宋" w:eastAsia="仿宋" w:cs="仿宋"/>
          <w:color w:val="auto"/>
          <w:sz w:val="32"/>
          <w:szCs w:val="32"/>
          <w:lang w:val="zh-TW" w:eastAsia="zh-CN"/>
        </w:rPr>
        <w:t>推动</w:t>
      </w:r>
      <w:r>
        <w:rPr>
          <w:rFonts w:hint="eastAsia" w:ascii="仿宋" w:hAnsi="仿宋" w:eastAsia="仿宋" w:cs="仿宋"/>
          <w:color w:val="auto"/>
          <w:sz w:val="32"/>
          <w:szCs w:val="32"/>
          <w:lang w:val="zh-TW" w:eastAsia="zh-TW"/>
        </w:rPr>
        <w:t>全面风险管理体系逐步健全完善。</w:t>
      </w:r>
    </w:p>
    <w:p>
      <w:pPr>
        <w:pStyle w:val="19"/>
        <w:widowControl w:val="0"/>
        <w:tabs>
          <w:tab w:val="left" w:pos="350"/>
        </w:tabs>
        <w:wordWrap/>
        <w:adjustRightInd/>
        <w:snapToGrid/>
        <w:spacing w:line="590" w:lineRule="exact"/>
        <w:ind w:left="0" w:leftChars="0" w:right="0" w:firstLine="640" w:firstLineChars="200"/>
        <w:jc w:val="both"/>
        <w:textAlignment w:val="auto"/>
        <w:outlineLvl w:val="0"/>
        <w:rPr>
          <w:rFonts w:hint="eastAsia" w:ascii="黑体" w:hAnsi="黑体" w:eastAsia="黑体" w:cs="仿宋"/>
          <w:color w:val="auto"/>
          <w:sz w:val="32"/>
          <w:szCs w:val="32"/>
          <w:lang w:val="zh-TW" w:eastAsia="zh-CN"/>
        </w:rPr>
      </w:pPr>
      <w:bookmarkStart w:id="16" w:name="_Toc6521"/>
      <w:r>
        <w:rPr>
          <w:rFonts w:hint="eastAsia" w:ascii="黑体" w:hAnsi="黑体" w:eastAsia="黑体" w:cs="仿宋"/>
          <w:color w:val="auto"/>
          <w:sz w:val="32"/>
          <w:szCs w:val="32"/>
          <w:lang w:val="zh-TW" w:eastAsia="zh-CN"/>
        </w:rPr>
        <w:t>六</w:t>
      </w:r>
      <w:r>
        <w:rPr>
          <w:rFonts w:hint="eastAsia" w:ascii="黑体" w:hAnsi="黑体" w:eastAsia="黑体" w:cs="仿宋"/>
          <w:color w:val="auto"/>
          <w:sz w:val="32"/>
          <w:szCs w:val="32"/>
          <w:lang w:val="zh-TW"/>
        </w:rPr>
        <w:t>、</w:t>
      </w:r>
      <w:r>
        <w:rPr>
          <w:rFonts w:hint="eastAsia" w:ascii="黑体" w:hAnsi="黑体" w:eastAsia="黑体" w:cs="仿宋"/>
          <w:color w:val="auto"/>
          <w:sz w:val="32"/>
          <w:szCs w:val="32"/>
          <w:lang w:val="zh-TW" w:eastAsia="zh-TW"/>
        </w:rPr>
        <w:t>环境</w:t>
      </w:r>
      <w:r>
        <w:rPr>
          <w:rFonts w:hint="eastAsia" w:ascii="黑体" w:hAnsi="黑体" w:eastAsia="黑体" w:cs="仿宋"/>
          <w:color w:val="auto"/>
          <w:sz w:val="32"/>
          <w:szCs w:val="32"/>
          <w:lang w:val="zh-TW" w:eastAsia="zh-CN"/>
        </w:rPr>
        <w:t>因素对金融机构</w:t>
      </w:r>
      <w:r>
        <w:rPr>
          <w:rFonts w:hint="eastAsia" w:ascii="黑体" w:hAnsi="黑体" w:eastAsia="黑体" w:cs="仿宋"/>
          <w:color w:val="auto"/>
          <w:sz w:val="32"/>
          <w:szCs w:val="32"/>
          <w:lang w:val="zh-TW" w:eastAsia="zh-TW"/>
        </w:rPr>
        <w:t>的</w:t>
      </w:r>
      <w:r>
        <w:rPr>
          <w:rFonts w:hint="eastAsia" w:ascii="黑体" w:hAnsi="黑体" w:eastAsia="黑体" w:cs="仿宋"/>
          <w:color w:val="auto"/>
          <w:sz w:val="32"/>
          <w:szCs w:val="32"/>
          <w:lang w:val="zh-TW" w:eastAsia="zh-CN"/>
        </w:rPr>
        <w:t>影响</w:t>
      </w:r>
      <w:bookmarkEnd w:id="16"/>
    </w:p>
    <w:p>
      <w:pPr>
        <w:pStyle w:val="19"/>
        <w:widowControl w:val="0"/>
        <w:tabs>
          <w:tab w:val="left" w:pos="949"/>
        </w:tabs>
        <w:wordWrap/>
        <w:adjustRightInd/>
        <w:snapToGrid/>
        <w:spacing w:line="590" w:lineRule="exact"/>
        <w:ind w:left="0" w:leftChars="0" w:right="0" w:firstLine="641" w:firstLineChars="200"/>
        <w:jc w:val="both"/>
        <w:textAlignment w:val="auto"/>
        <w:rPr>
          <w:rFonts w:ascii="华文楷体" w:hAnsi="华文楷体" w:eastAsia="华文楷体" w:cs="仿宋"/>
          <w:b/>
          <w:color w:val="000000"/>
          <w:sz w:val="32"/>
          <w:szCs w:val="32"/>
          <w:lang w:val="zh-TW" w:eastAsia="zh-TW"/>
        </w:rPr>
      </w:pPr>
      <w:r>
        <w:rPr>
          <w:rFonts w:hint="eastAsia" w:ascii="华文楷体" w:hAnsi="华文楷体" w:eastAsia="华文楷体" w:cs="仿宋"/>
          <w:b/>
          <w:color w:val="000000"/>
          <w:sz w:val="32"/>
          <w:szCs w:val="32"/>
        </w:rPr>
        <w:t>（一）</w:t>
      </w:r>
      <w:r>
        <w:rPr>
          <w:rFonts w:hint="eastAsia" w:ascii="华文楷体" w:hAnsi="华文楷体" w:eastAsia="华文楷体" w:cs="仿宋"/>
          <w:b/>
          <w:color w:val="000000"/>
          <w:sz w:val="32"/>
          <w:szCs w:val="32"/>
          <w:lang w:val="zh-TW" w:eastAsia="zh-TW"/>
        </w:rPr>
        <w:t>短期、中期和长期的环境相关风险和机遇</w:t>
      </w:r>
    </w:p>
    <w:p>
      <w:pPr>
        <w:pStyle w:val="19"/>
        <w:widowControl w:val="0"/>
        <w:tabs>
          <w:tab w:val="left" w:pos="949"/>
        </w:tabs>
        <w:wordWrap/>
        <w:adjustRightInd/>
        <w:snapToGrid/>
        <w:spacing w:line="590" w:lineRule="exact"/>
        <w:ind w:left="0" w:leftChars="0" w:right="0" w:firstLine="643" w:firstLineChars="200"/>
        <w:jc w:val="both"/>
        <w:textAlignment w:val="auto"/>
        <w:rPr>
          <w:rFonts w:hint="eastAsia" w:ascii="仿宋" w:hAnsi="仿宋" w:eastAsia="仿宋" w:cs="仿宋"/>
          <w:color w:val="000000"/>
          <w:sz w:val="32"/>
          <w:szCs w:val="32"/>
          <w:lang w:val="zh-TW" w:eastAsia="zh-CN"/>
        </w:rPr>
      </w:pPr>
      <w:r>
        <w:rPr>
          <w:rFonts w:hint="eastAsia" w:ascii="仿宋" w:hAnsi="仿宋" w:eastAsia="仿宋" w:cs="仿宋"/>
          <w:b/>
          <w:color w:val="000000"/>
          <w:sz w:val="32"/>
          <w:szCs w:val="32"/>
          <w:lang w:val="zh-TW" w:eastAsia="zh-CN"/>
        </w:rPr>
        <w:t>从</w:t>
      </w:r>
      <w:r>
        <w:rPr>
          <w:rFonts w:hint="eastAsia" w:ascii="仿宋" w:hAnsi="仿宋" w:eastAsia="仿宋" w:cs="仿宋"/>
          <w:b/>
          <w:color w:val="000000"/>
          <w:sz w:val="32"/>
          <w:szCs w:val="32"/>
          <w:lang w:val="zh-TW"/>
        </w:rPr>
        <w:t>短期</w:t>
      </w:r>
      <w:r>
        <w:rPr>
          <w:rFonts w:hint="eastAsia" w:ascii="仿宋" w:hAnsi="仿宋" w:eastAsia="仿宋" w:cs="仿宋"/>
          <w:b/>
          <w:color w:val="000000"/>
          <w:sz w:val="32"/>
          <w:szCs w:val="32"/>
          <w:lang w:val="zh-TW" w:eastAsia="zh-CN"/>
        </w:rPr>
        <w:t>看，</w:t>
      </w:r>
      <w:r>
        <w:rPr>
          <w:rFonts w:hint="eastAsia" w:ascii="仿宋" w:hAnsi="仿宋" w:eastAsia="仿宋" w:cs="仿宋"/>
          <w:b w:val="0"/>
          <w:bCs/>
          <w:color w:val="000000"/>
          <w:sz w:val="32"/>
          <w:szCs w:val="32"/>
          <w:lang w:val="zh-TW" w:eastAsia="zh-CN"/>
        </w:rPr>
        <w:t>随着</w:t>
      </w:r>
      <w:r>
        <w:rPr>
          <w:rFonts w:hint="eastAsia" w:ascii="仿宋" w:hAnsi="仿宋" w:eastAsia="仿宋" w:cs="仿宋"/>
          <w:b w:val="0"/>
          <w:bCs/>
          <w:color w:val="000000"/>
          <w:sz w:val="32"/>
          <w:szCs w:val="32"/>
          <w:lang w:val="en-US" w:eastAsia="zh-CN"/>
        </w:rPr>
        <w:t>全球气候变暖</w:t>
      </w:r>
      <w:r>
        <w:rPr>
          <w:rFonts w:hint="eastAsia" w:ascii="仿宋" w:hAnsi="仿宋" w:eastAsia="仿宋" w:cs="仿宋"/>
          <w:b w:val="0"/>
          <w:bCs/>
          <w:color w:val="000000"/>
          <w:sz w:val="32"/>
          <w:szCs w:val="32"/>
          <w:lang w:val="zh-TW" w:eastAsia="zh-CN"/>
        </w:rPr>
        <w:t>，</w:t>
      </w:r>
      <w:r>
        <w:rPr>
          <w:rFonts w:hint="eastAsia" w:ascii="仿宋" w:hAnsi="仿宋" w:eastAsia="仿宋" w:cs="仿宋"/>
          <w:color w:val="000000"/>
          <w:sz w:val="32"/>
          <w:szCs w:val="32"/>
          <w:lang w:val="zh-TW" w:eastAsia="zh-CN"/>
        </w:rPr>
        <w:t>可能遭遇洪涝灾害等极端天气带来的物理风险，导致财产受损、营运中止等影响。</w:t>
      </w:r>
      <w:r>
        <w:rPr>
          <w:rFonts w:hint="eastAsia" w:ascii="仿宋" w:hAnsi="仿宋" w:eastAsia="仿宋" w:cs="仿宋"/>
          <w:b/>
          <w:bCs/>
          <w:color w:val="000000"/>
          <w:sz w:val="32"/>
          <w:szCs w:val="32"/>
          <w:lang w:val="zh-TW" w:eastAsia="zh-CN"/>
        </w:rPr>
        <w:t>从</w:t>
      </w:r>
      <w:r>
        <w:rPr>
          <w:rFonts w:hint="eastAsia" w:ascii="仿宋" w:hAnsi="仿宋" w:eastAsia="仿宋" w:cs="仿宋"/>
          <w:b/>
          <w:color w:val="000000"/>
          <w:sz w:val="32"/>
          <w:szCs w:val="32"/>
          <w:lang w:val="zh-TW"/>
        </w:rPr>
        <w:t>中期</w:t>
      </w:r>
      <w:r>
        <w:rPr>
          <w:rFonts w:hint="eastAsia" w:ascii="仿宋" w:hAnsi="仿宋" w:eastAsia="仿宋" w:cs="仿宋"/>
          <w:b/>
          <w:color w:val="000000"/>
          <w:sz w:val="32"/>
          <w:szCs w:val="32"/>
          <w:lang w:val="zh-TW" w:eastAsia="zh-CN"/>
        </w:rPr>
        <w:t>看，</w:t>
      </w:r>
      <w:r>
        <w:rPr>
          <w:rFonts w:hint="eastAsia" w:ascii="仿宋" w:hAnsi="仿宋" w:eastAsia="仿宋" w:cs="仿宋"/>
          <w:color w:val="000000"/>
          <w:sz w:val="32"/>
          <w:szCs w:val="32"/>
          <w:lang w:val="zh-TW" w:eastAsia="zh-TW"/>
        </w:rPr>
        <w:t>随着</w:t>
      </w:r>
      <w:r>
        <w:rPr>
          <w:rFonts w:hint="eastAsia" w:ascii="仿宋" w:hAnsi="仿宋" w:eastAsia="仿宋" w:cs="仿宋"/>
          <w:color w:val="000000"/>
          <w:sz w:val="32"/>
          <w:szCs w:val="32"/>
          <w:lang w:val="zh-TW" w:eastAsia="zh-CN"/>
        </w:rPr>
        <w:t>环保</w:t>
      </w:r>
      <w:r>
        <w:rPr>
          <w:rFonts w:hint="eastAsia" w:ascii="仿宋" w:hAnsi="仿宋" w:eastAsia="仿宋" w:cs="仿宋"/>
          <w:color w:val="000000"/>
          <w:sz w:val="32"/>
          <w:szCs w:val="32"/>
          <w:lang w:val="zh-TW" w:eastAsia="zh-TW"/>
        </w:rPr>
        <w:t>政策和执法力度</w:t>
      </w:r>
      <w:r>
        <w:rPr>
          <w:rFonts w:hint="eastAsia" w:ascii="仿宋" w:hAnsi="仿宋" w:eastAsia="仿宋" w:cs="仿宋"/>
          <w:color w:val="000000"/>
          <w:sz w:val="32"/>
          <w:szCs w:val="32"/>
          <w:lang w:val="zh-TW" w:eastAsia="zh-CN"/>
        </w:rPr>
        <w:t>不断趋严</w:t>
      </w:r>
      <w:r>
        <w:rPr>
          <w:rFonts w:hint="eastAsia" w:ascii="仿宋" w:hAnsi="仿宋" w:eastAsia="仿宋" w:cs="仿宋"/>
          <w:color w:val="000000"/>
          <w:sz w:val="32"/>
          <w:szCs w:val="32"/>
          <w:lang w:val="zh-TW" w:eastAsia="zh-TW"/>
        </w:rPr>
        <w:t>，</w:t>
      </w:r>
      <w:r>
        <w:rPr>
          <w:rFonts w:hint="eastAsia" w:ascii="仿宋" w:hAnsi="仿宋" w:eastAsia="仿宋" w:cs="仿宋"/>
          <w:color w:val="000000"/>
          <w:sz w:val="32"/>
          <w:szCs w:val="32"/>
          <w:lang w:val="zh-TW" w:eastAsia="zh-CN"/>
        </w:rPr>
        <w:t>部分</w:t>
      </w:r>
      <w:r>
        <w:rPr>
          <w:rFonts w:hint="eastAsia" w:ascii="仿宋" w:hAnsi="仿宋" w:eastAsia="仿宋" w:cs="仿宋"/>
          <w:color w:val="000000"/>
          <w:sz w:val="32"/>
          <w:szCs w:val="32"/>
          <w:lang w:val="zh-TW" w:eastAsia="zh-TW"/>
        </w:rPr>
        <w:t>行业</w:t>
      </w:r>
      <w:r>
        <w:rPr>
          <w:rFonts w:hint="eastAsia" w:ascii="仿宋" w:hAnsi="仿宋" w:eastAsia="仿宋" w:cs="仿宋"/>
          <w:color w:val="000000"/>
          <w:sz w:val="32"/>
          <w:szCs w:val="32"/>
          <w:lang w:val="zh-TW" w:eastAsia="zh-CN"/>
        </w:rPr>
        <w:t>信贷客户的环保成本支出将加大，进而影响其利润和还款能力，导致我行不良贷款增加。</w:t>
      </w:r>
      <w:r>
        <w:rPr>
          <w:rFonts w:hint="eastAsia" w:ascii="仿宋" w:hAnsi="仿宋" w:eastAsia="仿宋" w:cs="仿宋"/>
          <w:b/>
          <w:bCs/>
          <w:color w:val="000000"/>
          <w:sz w:val="32"/>
          <w:szCs w:val="32"/>
          <w:lang w:val="zh-TW" w:eastAsia="zh-CN"/>
        </w:rPr>
        <w:t>从</w:t>
      </w:r>
      <w:r>
        <w:rPr>
          <w:rFonts w:hint="eastAsia" w:ascii="仿宋" w:hAnsi="仿宋" w:eastAsia="仿宋" w:cs="仿宋"/>
          <w:b/>
          <w:color w:val="000000"/>
          <w:sz w:val="32"/>
          <w:szCs w:val="32"/>
          <w:lang w:val="zh-TW"/>
        </w:rPr>
        <w:t>长期</w:t>
      </w:r>
      <w:r>
        <w:rPr>
          <w:rFonts w:hint="eastAsia" w:ascii="仿宋" w:hAnsi="仿宋" w:eastAsia="仿宋" w:cs="仿宋"/>
          <w:b/>
          <w:color w:val="000000"/>
          <w:sz w:val="32"/>
          <w:szCs w:val="32"/>
          <w:lang w:val="zh-TW" w:eastAsia="zh-CN"/>
        </w:rPr>
        <w:t>看，</w:t>
      </w:r>
      <w:r>
        <w:rPr>
          <w:rFonts w:hint="eastAsia" w:ascii="仿宋" w:hAnsi="仿宋" w:eastAsia="仿宋" w:cs="仿宋"/>
          <w:color w:val="000000"/>
          <w:sz w:val="32"/>
          <w:szCs w:val="32"/>
          <w:lang w:val="zh-TW" w:eastAsia="zh-CN"/>
        </w:rPr>
        <w:t>在</w:t>
      </w:r>
      <w:r>
        <w:rPr>
          <w:rFonts w:hint="eastAsia" w:ascii="仿宋" w:hAnsi="仿宋" w:eastAsia="仿宋" w:cs="仿宋"/>
          <w:color w:val="000000"/>
          <w:sz w:val="32"/>
          <w:szCs w:val="32"/>
          <w:lang w:val="zh-TW" w:eastAsia="zh-TW"/>
        </w:rPr>
        <w:t>碳中和</w:t>
      </w:r>
      <w:r>
        <w:rPr>
          <w:rFonts w:hint="eastAsia" w:ascii="仿宋" w:hAnsi="仿宋" w:eastAsia="仿宋" w:cs="仿宋"/>
          <w:color w:val="000000"/>
          <w:sz w:val="32"/>
          <w:szCs w:val="32"/>
          <w:lang w:val="zh-TW" w:eastAsia="zh-CN"/>
        </w:rPr>
        <w:t>目标下</w:t>
      </w:r>
      <w:r>
        <w:rPr>
          <w:rFonts w:hint="eastAsia" w:ascii="仿宋" w:hAnsi="仿宋" w:eastAsia="仿宋" w:cs="仿宋"/>
          <w:color w:val="000000"/>
          <w:sz w:val="32"/>
          <w:szCs w:val="32"/>
          <w:lang w:val="zh-TW" w:eastAsia="zh-TW"/>
        </w:rPr>
        <w:t>，</w:t>
      </w:r>
      <w:r>
        <w:rPr>
          <w:rFonts w:hint="eastAsia" w:ascii="仿宋" w:hAnsi="仿宋" w:eastAsia="仿宋" w:cs="仿宋"/>
          <w:color w:val="000000"/>
          <w:sz w:val="32"/>
          <w:szCs w:val="32"/>
          <w:lang w:val="zh-TW" w:eastAsia="zh-CN"/>
        </w:rPr>
        <w:t>部分信贷客户可能因未能及时进行绿色低碳转型而被市场淘汰，带来长期的坏账损失。</w:t>
      </w:r>
      <w:r>
        <w:rPr>
          <w:rFonts w:hint="eastAsia" w:ascii="仿宋" w:hAnsi="仿宋" w:eastAsia="仿宋" w:cs="仿宋"/>
          <w:color w:val="000000"/>
          <w:sz w:val="32"/>
          <w:szCs w:val="32"/>
          <w:lang w:val="en-US" w:eastAsia="zh-CN"/>
        </w:rPr>
        <w:t>同时，我行</w:t>
      </w:r>
      <w:r>
        <w:rPr>
          <w:rFonts w:hint="eastAsia" w:ascii="仿宋" w:hAnsi="仿宋" w:eastAsia="仿宋" w:cs="仿宋"/>
          <w:color w:val="000000"/>
          <w:sz w:val="32"/>
          <w:szCs w:val="32"/>
          <w:lang w:val="zh-TW" w:eastAsia="zh-TW"/>
        </w:rPr>
        <w:t>自身经营的能源使用和碳排放也面临转型</w:t>
      </w:r>
      <w:r>
        <w:rPr>
          <w:rFonts w:hint="eastAsia" w:ascii="仿宋" w:hAnsi="仿宋" w:eastAsia="仿宋" w:cs="仿宋"/>
          <w:color w:val="000000"/>
          <w:sz w:val="32"/>
          <w:szCs w:val="32"/>
          <w:lang w:val="zh-TW" w:eastAsia="zh-CN"/>
        </w:rPr>
        <w:t>风险</w:t>
      </w:r>
      <w:r>
        <w:rPr>
          <w:rFonts w:hint="eastAsia" w:ascii="仿宋" w:hAnsi="仿宋" w:eastAsia="仿宋" w:cs="仿宋"/>
          <w:color w:val="000000"/>
          <w:sz w:val="32"/>
          <w:szCs w:val="32"/>
          <w:lang w:val="zh-TW" w:eastAsia="zh-TW"/>
        </w:rPr>
        <w:t>。</w:t>
      </w:r>
    </w:p>
    <w:p>
      <w:pPr>
        <w:pStyle w:val="19"/>
        <w:widowControl w:val="0"/>
        <w:tabs>
          <w:tab w:val="left" w:pos="949"/>
        </w:tabs>
        <w:wordWrap/>
        <w:adjustRightInd/>
        <w:snapToGrid/>
        <w:spacing w:line="590" w:lineRule="exact"/>
        <w:ind w:left="0" w:leftChars="0" w:right="0" w:firstLine="640" w:firstLineChars="200"/>
        <w:jc w:val="both"/>
        <w:textAlignment w:val="auto"/>
        <w:rPr>
          <w:rFonts w:ascii="仿宋" w:hAnsi="仿宋" w:eastAsia="仿宋" w:cs="仿宋"/>
          <w:color w:val="auto"/>
          <w:sz w:val="32"/>
          <w:szCs w:val="32"/>
          <w:lang w:val="zh-TW" w:eastAsia="zh-TW"/>
        </w:rPr>
      </w:pPr>
      <w:r>
        <w:rPr>
          <w:rFonts w:hint="eastAsia" w:ascii="仿宋" w:hAnsi="仿宋" w:eastAsia="仿宋" w:cs="仿宋"/>
          <w:color w:val="000000"/>
          <w:sz w:val="32"/>
          <w:szCs w:val="32"/>
          <w:lang w:val="zh-TW" w:eastAsia="zh-TW"/>
        </w:rPr>
        <w:t>与此同时，</w:t>
      </w:r>
      <w:r>
        <w:rPr>
          <w:rFonts w:hint="eastAsia" w:ascii="仿宋" w:hAnsi="仿宋" w:eastAsia="仿宋" w:cs="仿宋"/>
          <w:color w:val="000000"/>
          <w:sz w:val="32"/>
          <w:szCs w:val="32"/>
          <w:lang w:val="zh-TW" w:eastAsia="zh-CN"/>
        </w:rPr>
        <w:t>我行</w:t>
      </w:r>
      <w:r>
        <w:rPr>
          <w:rFonts w:hint="eastAsia" w:ascii="仿宋" w:hAnsi="仿宋" w:eastAsia="仿宋" w:cs="仿宋"/>
          <w:color w:val="000000"/>
          <w:sz w:val="32"/>
          <w:szCs w:val="32"/>
          <w:lang w:val="zh-TW" w:eastAsia="zh-TW"/>
        </w:rPr>
        <w:t>也</w:t>
      </w:r>
      <w:r>
        <w:rPr>
          <w:rFonts w:hint="eastAsia" w:ascii="仿宋" w:hAnsi="仿宋" w:eastAsia="仿宋" w:cs="仿宋"/>
          <w:color w:val="000000"/>
          <w:sz w:val="32"/>
          <w:szCs w:val="32"/>
          <w:lang w:val="zh-TW" w:eastAsia="zh-CN"/>
        </w:rPr>
        <w:t>将积极</w:t>
      </w:r>
      <w:r>
        <w:rPr>
          <w:rFonts w:hint="eastAsia" w:ascii="仿宋" w:hAnsi="仿宋" w:eastAsia="仿宋" w:cs="仿宋"/>
          <w:color w:val="000000"/>
          <w:sz w:val="32"/>
          <w:szCs w:val="32"/>
          <w:lang w:val="zh-TW" w:eastAsia="zh-TW"/>
        </w:rPr>
        <w:t>把握碳中和带来的机遇。</w:t>
      </w:r>
      <w:r>
        <w:rPr>
          <w:rFonts w:hint="eastAsia" w:ascii="仿宋" w:hAnsi="仿宋" w:eastAsia="仿宋" w:cs="仿宋"/>
          <w:b/>
          <w:bCs/>
          <w:color w:val="000000"/>
          <w:sz w:val="32"/>
          <w:szCs w:val="32"/>
          <w:lang w:val="zh-TW"/>
        </w:rPr>
        <w:t>一是</w:t>
      </w:r>
      <w:r>
        <w:rPr>
          <w:rFonts w:hint="eastAsia" w:ascii="仿宋" w:hAnsi="仿宋" w:eastAsia="仿宋" w:cs="仿宋"/>
          <w:color w:val="000000"/>
          <w:sz w:val="32"/>
          <w:szCs w:val="32"/>
          <w:lang w:val="zh-TW" w:eastAsia="zh-TW"/>
        </w:rPr>
        <w:t>政策的大力支持与引导，为商业银行</w:t>
      </w:r>
      <w:r>
        <w:rPr>
          <w:rFonts w:hint="eastAsia" w:ascii="仿宋" w:hAnsi="仿宋" w:eastAsia="仿宋" w:cs="仿宋"/>
          <w:color w:val="000000"/>
          <w:sz w:val="32"/>
          <w:szCs w:val="32"/>
          <w:lang w:val="zh-TW" w:eastAsia="zh-CN"/>
        </w:rPr>
        <w:t>发展绿色金融业务</w:t>
      </w:r>
      <w:r>
        <w:rPr>
          <w:rFonts w:hint="eastAsia" w:ascii="仿宋" w:hAnsi="仿宋" w:eastAsia="仿宋" w:cs="仿宋"/>
          <w:color w:val="000000"/>
          <w:sz w:val="32"/>
          <w:szCs w:val="32"/>
          <w:lang w:val="zh-TW" w:eastAsia="zh-TW"/>
        </w:rPr>
        <w:t>提供</w:t>
      </w:r>
      <w:r>
        <w:rPr>
          <w:rFonts w:hint="eastAsia" w:ascii="仿宋" w:hAnsi="仿宋" w:eastAsia="仿宋" w:cs="仿宋"/>
          <w:color w:val="000000"/>
          <w:sz w:val="32"/>
          <w:szCs w:val="32"/>
          <w:lang w:val="zh-TW" w:eastAsia="zh-CN"/>
        </w:rPr>
        <w:t>了良好的政策环境</w:t>
      </w:r>
      <w:r>
        <w:rPr>
          <w:rFonts w:hint="eastAsia" w:ascii="仿宋" w:hAnsi="仿宋" w:eastAsia="仿宋" w:cs="仿宋"/>
          <w:color w:val="000000"/>
          <w:sz w:val="32"/>
          <w:szCs w:val="32"/>
          <w:lang w:val="zh-TW" w:eastAsia="zh-TW"/>
        </w:rPr>
        <w:t>。</w:t>
      </w:r>
      <w:r>
        <w:rPr>
          <w:rFonts w:hint="eastAsia" w:ascii="仿宋" w:hAnsi="仿宋" w:eastAsia="仿宋" w:cs="仿宋"/>
          <w:b/>
          <w:bCs/>
          <w:color w:val="000000"/>
          <w:sz w:val="32"/>
          <w:szCs w:val="32"/>
          <w:lang w:val="zh-TW"/>
        </w:rPr>
        <w:t>二是</w:t>
      </w:r>
      <w:r>
        <w:rPr>
          <w:rFonts w:hint="eastAsia" w:ascii="仿宋" w:hAnsi="仿宋" w:eastAsia="仿宋" w:cs="仿宋"/>
          <w:color w:val="000000"/>
          <w:sz w:val="32"/>
          <w:szCs w:val="32"/>
          <w:lang w:val="zh-TW" w:eastAsia="zh-TW"/>
        </w:rPr>
        <w:t>碳交易市场发展</w:t>
      </w:r>
      <w:r>
        <w:rPr>
          <w:rFonts w:hint="eastAsia" w:ascii="仿宋" w:hAnsi="仿宋" w:eastAsia="仿宋" w:cs="仿宋"/>
          <w:color w:val="000000"/>
          <w:sz w:val="32"/>
          <w:szCs w:val="32"/>
          <w:lang w:val="zh-TW" w:eastAsia="zh-CN"/>
        </w:rPr>
        <w:t>潜力巨大，为金融机构增收提供了新的契机，我行</w:t>
      </w:r>
      <w:r>
        <w:rPr>
          <w:rFonts w:hint="eastAsia" w:ascii="仿宋" w:hAnsi="仿宋" w:eastAsia="仿宋" w:cs="仿宋"/>
          <w:color w:val="000000"/>
          <w:sz w:val="32"/>
          <w:szCs w:val="32"/>
          <w:lang w:val="zh-TW" w:eastAsia="zh-TW"/>
        </w:rPr>
        <w:t>可通过参与碳</w:t>
      </w:r>
      <w:r>
        <w:rPr>
          <w:rFonts w:hint="eastAsia" w:ascii="仿宋" w:hAnsi="仿宋" w:eastAsia="仿宋" w:cs="仿宋"/>
          <w:color w:val="000000"/>
          <w:sz w:val="32"/>
          <w:szCs w:val="32"/>
          <w:lang w:val="zh-TW" w:eastAsia="zh-CN"/>
        </w:rPr>
        <w:t>交易</w:t>
      </w:r>
      <w:r>
        <w:rPr>
          <w:rFonts w:hint="eastAsia" w:ascii="仿宋" w:hAnsi="仿宋" w:eastAsia="仿宋" w:cs="仿宋"/>
          <w:color w:val="000000"/>
          <w:sz w:val="32"/>
          <w:szCs w:val="32"/>
          <w:lang w:val="zh-TW" w:eastAsia="zh-TW"/>
        </w:rPr>
        <w:t>市场</w:t>
      </w:r>
      <w:r>
        <w:rPr>
          <w:rFonts w:hint="eastAsia" w:ascii="仿宋" w:hAnsi="仿宋" w:eastAsia="仿宋" w:cs="仿宋"/>
          <w:color w:val="000000"/>
          <w:sz w:val="32"/>
          <w:szCs w:val="32"/>
          <w:lang w:val="zh-TW" w:eastAsia="zh-CN"/>
        </w:rPr>
        <w:t>，拓宽</w:t>
      </w:r>
      <w:r>
        <w:rPr>
          <w:rFonts w:hint="eastAsia" w:ascii="仿宋" w:hAnsi="仿宋" w:eastAsia="仿宋" w:cs="仿宋"/>
          <w:color w:val="000000"/>
          <w:sz w:val="32"/>
          <w:szCs w:val="32"/>
          <w:lang w:val="zh-TW" w:eastAsia="zh-TW"/>
        </w:rPr>
        <w:t>存款来源</w:t>
      </w:r>
      <w:r>
        <w:rPr>
          <w:rFonts w:hint="eastAsia" w:ascii="仿宋" w:hAnsi="仿宋" w:eastAsia="仿宋" w:cs="仿宋"/>
          <w:color w:val="000000"/>
          <w:sz w:val="32"/>
          <w:szCs w:val="32"/>
          <w:lang w:val="zh-TW" w:eastAsia="zh-CN"/>
        </w:rPr>
        <w:t>渠道</w:t>
      </w:r>
      <w:r>
        <w:rPr>
          <w:rFonts w:hint="eastAsia" w:ascii="仿宋" w:hAnsi="仿宋" w:eastAsia="仿宋" w:cs="仿宋"/>
          <w:color w:val="000000"/>
          <w:sz w:val="32"/>
          <w:szCs w:val="32"/>
          <w:lang w:val="zh-TW" w:eastAsia="zh-TW"/>
        </w:rPr>
        <w:t>，扩大中间业务</w:t>
      </w:r>
      <w:r>
        <w:rPr>
          <w:rFonts w:hint="eastAsia" w:ascii="仿宋" w:hAnsi="仿宋" w:eastAsia="仿宋" w:cs="仿宋"/>
          <w:color w:val="000000"/>
          <w:sz w:val="32"/>
          <w:szCs w:val="32"/>
          <w:lang w:val="zh-TW" w:eastAsia="zh-CN"/>
        </w:rPr>
        <w:t>收入</w:t>
      </w:r>
      <w:r>
        <w:rPr>
          <w:rFonts w:hint="eastAsia" w:ascii="仿宋" w:hAnsi="仿宋" w:eastAsia="仿宋" w:cs="仿宋"/>
          <w:color w:val="000000"/>
          <w:sz w:val="32"/>
          <w:szCs w:val="32"/>
          <w:lang w:val="zh-TW" w:eastAsia="zh-TW"/>
        </w:rPr>
        <w:t>。</w:t>
      </w:r>
      <w:r>
        <w:rPr>
          <w:rFonts w:hint="eastAsia" w:ascii="仿宋" w:hAnsi="仿宋" w:eastAsia="仿宋" w:cs="仿宋"/>
          <w:b/>
          <w:bCs/>
          <w:color w:val="000000"/>
          <w:sz w:val="32"/>
          <w:szCs w:val="32"/>
          <w:lang w:val="zh-TW"/>
        </w:rPr>
        <w:t>三是</w:t>
      </w:r>
      <w:r>
        <w:rPr>
          <w:rFonts w:hint="eastAsia" w:ascii="仿宋" w:hAnsi="仿宋" w:eastAsia="仿宋" w:cs="仿宋"/>
          <w:color w:val="000000"/>
          <w:sz w:val="32"/>
          <w:szCs w:val="32"/>
          <w:lang w:val="zh-TW" w:eastAsia="zh-TW"/>
        </w:rPr>
        <w:t>绿色投融资缺口大、增速快</w:t>
      </w:r>
      <w:r>
        <w:rPr>
          <w:rFonts w:hint="eastAsia" w:ascii="仿宋" w:hAnsi="仿宋" w:eastAsia="仿宋" w:cs="仿宋"/>
          <w:color w:val="000000"/>
          <w:sz w:val="32"/>
          <w:szCs w:val="32"/>
          <w:lang w:val="zh-TW" w:eastAsia="zh-CN"/>
        </w:rPr>
        <w:t>，市场空间大</w:t>
      </w:r>
      <w:r>
        <w:rPr>
          <w:rFonts w:hint="eastAsia" w:ascii="仿宋" w:hAnsi="仿宋" w:eastAsia="仿宋" w:cs="仿宋"/>
          <w:color w:val="000000"/>
          <w:sz w:val="32"/>
          <w:szCs w:val="32"/>
          <w:lang w:val="zh-TW" w:eastAsia="zh-TW"/>
        </w:rPr>
        <w:t>。根据</w:t>
      </w:r>
      <w:r>
        <w:rPr>
          <w:rFonts w:hint="eastAsia" w:ascii="仿宋" w:hAnsi="仿宋" w:eastAsia="仿宋" w:cs="仿宋"/>
          <w:color w:val="000000"/>
          <w:sz w:val="32"/>
          <w:szCs w:val="32"/>
          <w:lang w:val="zh-TW" w:eastAsia="zh-CN"/>
        </w:rPr>
        <w:t>相关</w:t>
      </w:r>
      <w:r>
        <w:rPr>
          <w:rFonts w:hint="eastAsia" w:ascii="仿宋" w:hAnsi="仿宋" w:eastAsia="仿宋" w:cs="仿宋"/>
          <w:color w:val="000000"/>
          <w:sz w:val="32"/>
          <w:szCs w:val="32"/>
          <w:lang w:val="zh-TW" w:eastAsia="zh-TW"/>
        </w:rPr>
        <w:t>研究</w:t>
      </w:r>
      <w:r>
        <w:rPr>
          <w:rFonts w:hint="eastAsia" w:ascii="仿宋" w:hAnsi="仿宋" w:eastAsia="仿宋" w:cs="仿宋"/>
          <w:color w:val="000000"/>
          <w:sz w:val="32"/>
          <w:szCs w:val="32"/>
          <w:lang w:val="zh-TW" w:eastAsia="zh-CN"/>
        </w:rPr>
        <w:t>报告</w:t>
      </w:r>
      <w:r>
        <w:rPr>
          <w:rFonts w:hint="eastAsia" w:ascii="仿宋" w:hAnsi="仿宋" w:eastAsia="仿宋" w:cs="仿宋"/>
          <w:color w:val="000000"/>
          <w:sz w:val="32"/>
          <w:szCs w:val="32"/>
          <w:lang w:val="zh-TW" w:eastAsia="zh-TW"/>
        </w:rPr>
        <w:t>估算，碳中和目标下每年新增投资将超过GDP的2.5%，碳中和金融市场空间达百万亿元人民币</w:t>
      </w:r>
      <w:r>
        <w:rPr>
          <w:rFonts w:hint="eastAsia" w:ascii="仿宋" w:hAnsi="仿宋" w:eastAsia="仿宋" w:cs="仿宋"/>
          <w:color w:val="000000"/>
          <w:sz w:val="32"/>
          <w:szCs w:val="32"/>
          <w:lang w:val="zh-TW" w:eastAsia="zh-CN"/>
        </w:rPr>
        <w:t>。</w:t>
      </w:r>
    </w:p>
    <w:p>
      <w:pPr>
        <w:pStyle w:val="19"/>
        <w:widowControl w:val="0"/>
        <w:tabs>
          <w:tab w:val="left" w:pos="949"/>
        </w:tabs>
        <w:wordWrap/>
        <w:adjustRightInd/>
        <w:snapToGrid/>
        <w:spacing w:line="590" w:lineRule="exact"/>
        <w:ind w:left="0" w:leftChars="0" w:right="0" w:firstLine="641" w:firstLineChars="200"/>
        <w:jc w:val="both"/>
        <w:textAlignment w:val="auto"/>
        <w:rPr>
          <w:rFonts w:ascii="华文楷体" w:hAnsi="华文楷体" w:eastAsia="华文楷体" w:cs="仿宋"/>
          <w:b/>
          <w:color w:val="auto"/>
          <w:sz w:val="32"/>
          <w:szCs w:val="32"/>
          <w:lang w:val="zh-TW" w:eastAsia="zh-TW"/>
        </w:rPr>
      </w:pPr>
      <w:r>
        <w:rPr>
          <w:rFonts w:hint="eastAsia" w:ascii="华文楷体" w:hAnsi="华文楷体" w:eastAsia="华文楷体" w:cs="仿宋"/>
          <w:b/>
          <w:color w:val="auto"/>
          <w:sz w:val="32"/>
          <w:szCs w:val="32"/>
        </w:rPr>
        <w:t>（二）</w:t>
      </w:r>
      <w:r>
        <w:rPr>
          <w:rFonts w:hint="eastAsia" w:ascii="华文楷体" w:hAnsi="华文楷体" w:eastAsia="华文楷体" w:cs="仿宋"/>
          <w:b/>
          <w:color w:val="auto"/>
          <w:sz w:val="32"/>
          <w:szCs w:val="32"/>
          <w:lang w:val="zh-TW" w:eastAsia="zh-TW"/>
        </w:rPr>
        <w:t>环境相关风险和机遇对业务、战略的影响</w:t>
      </w:r>
    </w:p>
    <w:p>
      <w:pPr>
        <w:pStyle w:val="19"/>
        <w:widowControl w:val="0"/>
        <w:tabs>
          <w:tab w:val="left" w:pos="949"/>
        </w:tabs>
        <w:wordWrap/>
        <w:adjustRightInd/>
        <w:snapToGrid/>
        <w:spacing w:line="590" w:lineRule="exact"/>
        <w:ind w:left="0" w:leftChars="0" w:right="0" w:firstLine="640" w:firstLineChars="200"/>
        <w:jc w:val="both"/>
        <w:textAlignment w:val="auto"/>
        <w:rPr>
          <w:rFonts w:ascii="仿宋" w:hAnsi="仿宋" w:eastAsia="仿宋" w:cs="仿宋"/>
          <w:color w:val="auto"/>
          <w:sz w:val="32"/>
          <w:szCs w:val="32"/>
          <w:lang w:val="zh-TW" w:eastAsia="zh-TW"/>
        </w:rPr>
      </w:pPr>
      <w:r>
        <w:rPr>
          <w:rFonts w:hint="eastAsia" w:ascii="仿宋" w:hAnsi="仿宋" w:eastAsia="仿宋" w:cs="仿宋"/>
          <w:color w:val="auto"/>
          <w:sz w:val="32"/>
          <w:szCs w:val="32"/>
          <w:lang w:val="zh-TW" w:eastAsia="zh-TW"/>
        </w:rPr>
        <w:t>根据《绵阳市商业银行股份有限公司“十四五”发展规划》（绵商银发[2021]234号），我行将在“十四五”期间贯彻落实新发展理念，按照赤道原则协会的要求，</w:t>
      </w:r>
      <w:r>
        <w:rPr>
          <w:rFonts w:hint="eastAsia" w:ascii="仿宋" w:hAnsi="仿宋" w:eastAsia="仿宋" w:cs="仿宋"/>
          <w:color w:val="000000"/>
          <w:sz w:val="32"/>
          <w:szCs w:val="32"/>
          <w:lang w:val="zh-TW" w:eastAsia="zh-TW"/>
        </w:rPr>
        <w:t>实现业务可持续发展与环境保护双重目标</w:t>
      </w:r>
      <w:r>
        <w:rPr>
          <w:rFonts w:hint="eastAsia" w:ascii="仿宋" w:hAnsi="仿宋" w:eastAsia="仿宋" w:cs="仿宋"/>
          <w:color w:val="000000"/>
          <w:sz w:val="32"/>
          <w:szCs w:val="32"/>
          <w:lang w:val="zh-TW" w:eastAsia="zh-CN"/>
        </w:rPr>
        <w:t>，</w:t>
      </w:r>
      <w:r>
        <w:rPr>
          <w:rFonts w:hint="eastAsia" w:ascii="仿宋" w:hAnsi="仿宋" w:eastAsia="仿宋" w:cs="仿宋"/>
          <w:color w:val="auto"/>
          <w:sz w:val="32"/>
          <w:szCs w:val="32"/>
          <w:lang w:val="zh-TW" w:eastAsia="zh-TW"/>
        </w:rPr>
        <w:t>打造生态绵商、绿色绵商。一是贯彻绿色金融发展理念</w:t>
      </w:r>
      <w:r>
        <w:rPr>
          <w:rFonts w:hint="eastAsia" w:ascii="仿宋" w:hAnsi="仿宋" w:eastAsia="仿宋" w:cs="仿宋"/>
          <w:color w:val="auto"/>
          <w:sz w:val="32"/>
          <w:szCs w:val="32"/>
          <w:lang w:val="zh-TW" w:eastAsia="zh-CN"/>
        </w:rPr>
        <w:t>，</w:t>
      </w:r>
      <w:r>
        <w:rPr>
          <w:rFonts w:hint="eastAsia" w:ascii="仿宋" w:hAnsi="仿宋" w:eastAsia="仿宋" w:cs="仿宋"/>
          <w:color w:val="auto"/>
          <w:sz w:val="32"/>
          <w:szCs w:val="32"/>
          <w:lang w:val="zh-TW" w:eastAsia="zh-TW"/>
        </w:rPr>
        <w:t>推进绿色化银行转型；二是建立健全绿色金融体制，建设绿色金融特色银行；三是加强创新实践，有效促进绿色发展落实落地。本行将建立适用于自身业务运营的评估环境风险的数据分析体系和方法论，实现碳中和数字化。</w:t>
      </w:r>
    </w:p>
    <w:p>
      <w:pPr>
        <w:pStyle w:val="19"/>
        <w:widowControl w:val="0"/>
        <w:tabs>
          <w:tab w:val="left" w:pos="949"/>
        </w:tabs>
        <w:wordWrap/>
        <w:adjustRightInd/>
        <w:snapToGrid/>
        <w:spacing w:line="590" w:lineRule="exact"/>
        <w:ind w:left="0" w:leftChars="0" w:right="0" w:firstLine="641" w:firstLineChars="200"/>
        <w:jc w:val="both"/>
        <w:textAlignment w:val="auto"/>
        <w:rPr>
          <w:rFonts w:ascii="华文楷体" w:hAnsi="华文楷体" w:eastAsia="华文楷体" w:cs="仿宋"/>
          <w:b/>
          <w:color w:val="000000" w:themeColor="text1"/>
          <w:sz w:val="32"/>
          <w:szCs w:val="32"/>
        </w:rPr>
      </w:pPr>
      <w:r>
        <w:rPr>
          <w:rFonts w:hint="eastAsia" w:ascii="华文楷体" w:hAnsi="华文楷体" w:eastAsia="华文楷体" w:cs="仿宋"/>
          <w:b/>
          <w:color w:val="000000" w:themeColor="text1"/>
          <w:sz w:val="32"/>
          <w:szCs w:val="32"/>
        </w:rPr>
        <w:t>（三）</w:t>
      </w:r>
      <w:r>
        <w:rPr>
          <w:rFonts w:hint="eastAsia" w:ascii="华文楷体" w:hAnsi="华文楷体" w:eastAsia="华文楷体" w:cs="仿宋"/>
          <w:b/>
          <w:color w:val="000000" w:themeColor="text1"/>
          <w:sz w:val="32"/>
          <w:szCs w:val="32"/>
          <w:lang w:eastAsia="zh-CN"/>
        </w:rPr>
        <w:t>应对措施及效果</w:t>
      </w:r>
    </w:p>
    <w:p>
      <w:pPr>
        <w:pStyle w:val="19"/>
        <w:widowControl w:val="0"/>
        <w:tabs>
          <w:tab w:val="left" w:pos="949"/>
        </w:tabs>
        <w:wordWrap/>
        <w:adjustRightInd/>
        <w:snapToGrid/>
        <w:spacing w:line="590" w:lineRule="exact"/>
        <w:ind w:left="0" w:leftChars="0" w:righ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本行在《</w:t>
      </w:r>
      <w:r>
        <w:rPr>
          <w:rFonts w:hint="eastAsia" w:ascii="仿宋" w:hAnsi="仿宋" w:eastAsia="仿宋" w:cs="仿宋"/>
          <w:color w:val="auto"/>
          <w:sz w:val="32"/>
          <w:szCs w:val="32"/>
          <w:lang w:val="zh-TW" w:eastAsia="zh-TW"/>
        </w:rPr>
        <w:t>绵阳市商业银行股份有限公司</w:t>
      </w:r>
      <w:r>
        <w:rPr>
          <w:rFonts w:hint="eastAsia" w:ascii="仿宋" w:hAnsi="仿宋" w:eastAsia="仿宋" w:cs="仿宋"/>
          <w:color w:val="000000"/>
          <w:sz w:val="32"/>
          <w:szCs w:val="32"/>
        </w:rPr>
        <w:t>绿色信贷业务管理办法》（绵商银发〔2019〕353号）、《绵阳市商业银行股份有限公司支持绿色低碳产业发展实施方案》（绵商银发</w:t>
      </w:r>
      <w:r>
        <w:rPr>
          <w:rFonts w:ascii="仿宋" w:hAnsi="仿宋" w:eastAsia="仿宋" w:cs="仿宋"/>
          <w:sz w:val="32"/>
          <w:szCs w:val="32"/>
          <w:lang w:val="zh-TW"/>
        </w:rPr>
        <w:t>〔</w:t>
      </w:r>
      <w:r>
        <w:rPr>
          <w:rFonts w:hint="eastAsia" w:ascii="仿宋" w:hAnsi="仿宋" w:eastAsia="仿宋" w:cs="仿宋"/>
          <w:sz w:val="32"/>
          <w:szCs w:val="32"/>
          <w:lang w:val="zh-TW"/>
        </w:rPr>
        <w:t>202</w:t>
      </w:r>
      <w:r>
        <w:rPr>
          <w:rFonts w:hint="eastAsia" w:ascii="仿宋" w:hAnsi="仿宋" w:eastAsia="仿宋" w:cs="仿宋"/>
          <w:sz w:val="32"/>
          <w:szCs w:val="32"/>
          <w:lang w:val="en-US" w:eastAsia="zh-CN"/>
        </w:rPr>
        <w:t>1</w:t>
      </w:r>
      <w:r>
        <w:rPr>
          <w:rFonts w:ascii="仿宋" w:hAnsi="仿宋" w:eastAsia="仿宋" w:cs="仿宋"/>
          <w:sz w:val="32"/>
          <w:szCs w:val="32"/>
          <w:lang w:val="zh-TW"/>
        </w:rPr>
        <w:t>〕</w:t>
      </w:r>
      <w:r>
        <w:rPr>
          <w:rFonts w:hint="eastAsia" w:ascii="仿宋" w:hAnsi="仿宋" w:eastAsia="仿宋" w:cs="仿宋"/>
          <w:color w:val="000000"/>
          <w:sz w:val="32"/>
          <w:szCs w:val="32"/>
        </w:rPr>
        <w:t>197号）中针对性提出管理方针和具体措施，如本行根据客户的环境与社会风险对其进行分类管理，其中：将建设、生产、经营活动有可能严重改变环境原状且产生的不良环境和社会影响不易消除的客户划入A类，将建设、生产、经营活动将产生不良环境和社会后果但较容易通过缓释措施加以消除的客户划入B类；经办机构对A类和B类客户控制环境和社会风险的进展情况进行动态评估，相关结果作为评级、信贷准入、管理和退出的重要依据，并在贷款“三查”、贷款定价和经济资本分配等方面采取差别化的风险管理措施。</w:t>
      </w:r>
      <w:r>
        <w:rPr>
          <w:rFonts w:hint="eastAsia" w:ascii="仿宋" w:hAnsi="仿宋" w:eastAsia="仿宋" w:cs="仿宋"/>
          <w:color w:val="000000"/>
          <w:sz w:val="32"/>
          <w:szCs w:val="32"/>
          <w:lang w:eastAsia="zh-CN"/>
        </w:rPr>
        <w:t>未来</w:t>
      </w:r>
      <w:r>
        <w:rPr>
          <w:rFonts w:hint="eastAsia" w:ascii="仿宋" w:hAnsi="仿宋" w:eastAsia="仿宋" w:cs="仿宋"/>
          <w:color w:val="000000"/>
          <w:sz w:val="32"/>
          <w:szCs w:val="32"/>
          <w:lang w:val="zh-TW" w:eastAsia="zh-CN"/>
        </w:rPr>
        <w:t>，我行将持续</w:t>
      </w:r>
      <w:r>
        <w:rPr>
          <w:rFonts w:hint="eastAsia" w:ascii="仿宋" w:hAnsi="仿宋" w:eastAsia="仿宋" w:cs="仿宋"/>
          <w:color w:val="000000"/>
          <w:sz w:val="32"/>
          <w:szCs w:val="32"/>
          <w:lang w:val="en-US" w:eastAsia="zh-CN"/>
        </w:rPr>
        <w:t>加强</w:t>
      </w:r>
      <w:r>
        <w:rPr>
          <w:rFonts w:hint="eastAsia" w:ascii="仿宋" w:hAnsi="仿宋" w:eastAsia="仿宋" w:cs="仿宋"/>
          <w:color w:val="000000"/>
          <w:sz w:val="32"/>
          <w:szCs w:val="32"/>
          <w:lang w:val="zh-TW" w:eastAsia="zh-CN"/>
        </w:rPr>
        <w:t>环境风险</w:t>
      </w:r>
      <w:r>
        <w:rPr>
          <w:rFonts w:hint="eastAsia" w:ascii="仿宋" w:hAnsi="仿宋" w:eastAsia="仿宋" w:cs="仿宋"/>
          <w:color w:val="000000"/>
          <w:sz w:val="32"/>
          <w:szCs w:val="32"/>
          <w:lang w:val="en-US" w:eastAsia="zh-CN"/>
        </w:rPr>
        <w:t>的</w:t>
      </w:r>
      <w:r>
        <w:rPr>
          <w:rFonts w:hint="eastAsia" w:ascii="仿宋" w:hAnsi="仿宋" w:eastAsia="仿宋" w:cs="仿宋"/>
          <w:color w:val="000000"/>
          <w:sz w:val="32"/>
          <w:szCs w:val="32"/>
          <w:lang w:val="zh-TW" w:eastAsia="zh-CN"/>
        </w:rPr>
        <w:t>识别、评估、控制、转移和监控，大力发展绿色信贷业务，逐步</w:t>
      </w:r>
      <w:r>
        <w:rPr>
          <w:rFonts w:hint="eastAsia" w:ascii="仿宋" w:hAnsi="仿宋" w:eastAsia="仿宋" w:cs="仿宋"/>
          <w:color w:val="000000"/>
          <w:sz w:val="32"/>
          <w:szCs w:val="32"/>
          <w:lang w:val="zh-TW" w:eastAsia="zh-TW"/>
        </w:rPr>
        <w:t>压缩</w:t>
      </w:r>
      <w:r>
        <w:rPr>
          <w:rFonts w:hint="eastAsia" w:ascii="仿宋" w:hAnsi="仿宋" w:eastAsia="仿宋" w:cs="仿宋"/>
          <w:color w:val="000000"/>
          <w:sz w:val="32"/>
          <w:szCs w:val="32"/>
          <w:lang w:val="en-US" w:eastAsia="zh-CN"/>
        </w:rPr>
        <w:t>和</w:t>
      </w:r>
      <w:r>
        <w:rPr>
          <w:rFonts w:hint="eastAsia" w:ascii="仿宋" w:hAnsi="仿宋" w:eastAsia="仿宋" w:cs="仿宋"/>
          <w:color w:val="000000"/>
          <w:sz w:val="32"/>
          <w:szCs w:val="32"/>
          <w:lang w:val="zh-TW" w:eastAsia="zh-TW"/>
        </w:rPr>
        <w:t>退出高污染、高能耗、高排放行业</w:t>
      </w:r>
      <w:r>
        <w:rPr>
          <w:rFonts w:hint="eastAsia" w:ascii="仿宋" w:hAnsi="仿宋" w:eastAsia="仿宋" w:cs="仿宋"/>
          <w:color w:val="000000"/>
          <w:sz w:val="32"/>
          <w:szCs w:val="32"/>
          <w:lang w:val="zh-TW" w:eastAsia="zh-CN"/>
        </w:rPr>
        <w:t>。</w:t>
      </w:r>
    </w:p>
    <w:p>
      <w:pPr>
        <w:spacing w:line="572" w:lineRule="exact"/>
        <w:ind w:firstLine="640" w:firstLineChars="200"/>
        <w:rPr>
          <w:rFonts w:ascii="仿宋" w:hAnsi="仿宋" w:eastAsia="仿宋" w:cs="仿宋"/>
          <w:color w:val="FF0000"/>
          <w:sz w:val="32"/>
          <w:szCs w:val="32"/>
        </w:rPr>
      </w:pPr>
      <w:r>
        <w:rPr>
          <w:rFonts w:hint="eastAsia" w:ascii="仿宋" w:hAnsi="仿宋" w:eastAsia="仿宋" w:cs="仿宋"/>
          <w:color w:val="000000"/>
          <w:sz w:val="32"/>
          <w:szCs w:val="32"/>
          <w:lang w:eastAsia="zh-CN"/>
        </w:rPr>
        <w:t>我行</w:t>
      </w:r>
      <w:r>
        <w:rPr>
          <w:rFonts w:hint="eastAsia" w:ascii="仿宋" w:hAnsi="仿宋" w:eastAsia="仿宋"/>
          <w:color w:val="000000"/>
          <w:sz w:val="32"/>
          <w:szCs w:val="32"/>
        </w:rPr>
        <w:t>加入</w:t>
      </w:r>
      <w:r>
        <w:rPr>
          <w:rFonts w:ascii="仿宋" w:hAnsi="仿宋" w:eastAsia="仿宋"/>
          <w:color w:val="000000"/>
          <w:sz w:val="32"/>
          <w:szCs w:val="32"/>
        </w:rPr>
        <w:t>“</w:t>
      </w:r>
      <w:r>
        <w:rPr>
          <w:rFonts w:hint="eastAsia" w:ascii="仿宋" w:hAnsi="仿宋" w:eastAsia="仿宋"/>
          <w:color w:val="000000"/>
          <w:sz w:val="32"/>
          <w:szCs w:val="32"/>
        </w:rPr>
        <w:t>赤道</w:t>
      </w:r>
      <w:r>
        <w:rPr>
          <w:rFonts w:ascii="仿宋" w:hAnsi="仿宋" w:eastAsia="仿宋"/>
          <w:color w:val="000000"/>
          <w:sz w:val="32"/>
          <w:szCs w:val="32"/>
        </w:rPr>
        <w:t>原则协会”</w:t>
      </w:r>
      <w:r>
        <w:rPr>
          <w:rFonts w:hint="eastAsia" w:ascii="仿宋" w:hAnsi="仿宋" w:eastAsia="仿宋"/>
          <w:color w:val="000000"/>
          <w:sz w:val="32"/>
          <w:szCs w:val="32"/>
        </w:rPr>
        <w:t>后</w:t>
      </w:r>
      <w:r>
        <w:rPr>
          <w:rFonts w:ascii="仿宋" w:hAnsi="仿宋" w:eastAsia="仿宋"/>
          <w:color w:val="000000"/>
          <w:sz w:val="32"/>
          <w:szCs w:val="32"/>
        </w:rPr>
        <w:t>，深入</w:t>
      </w:r>
      <w:r>
        <w:rPr>
          <w:rFonts w:hint="eastAsia" w:ascii="仿宋" w:hAnsi="仿宋" w:eastAsia="仿宋"/>
          <w:color w:val="000000"/>
          <w:sz w:val="32"/>
          <w:szCs w:val="32"/>
        </w:rPr>
        <w:t>学习</w:t>
      </w:r>
      <w:r>
        <w:rPr>
          <w:rFonts w:hint="eastAsia" w:ascii="仿宋" w:hAnsi="仿宋" w:eastAsia="仿宋"/>
          <w:color w:val="000000"/>
          <w:sz w:val="32"/>
          <w:szCs w:val="32"/>
          <w:lang w:eastAsia="zh-CN"/>
        </w:rPr>
        <w:t>贯彻</w:t>
      </w:r>
      <w:r>
        <w:rPr>
          <w:rFonts w:hint="eastAsia" w:ascii="仿宋" w:hAnsi="仿宋" w:eastAsia="仿宋"/>
          <w:color w:val="000000"/>
          <w:sz w:val="32"/>
          <w:szCs w:val="32"/>
        </w:rPr>
        <w:t>“</w:t>
      </w:r>
      <w:r>
        <w:rPr>
          <w:rFonts w:ascii="仿宋" w:hAnsi="仿宋" w:eastAsia="仿宋"/>
          <w:color w:val="000000"/>
          <w:sz w:val="32"/>
          <w:szCs w:val="32"/>
        </w:rPr>
        <w:t>赤道原则</w:t>
      </w:r>
      <w:r>
        <w:rPr>
          <w:rFonts w:hint="eastAsia" w:ascii="仿宋" w:hAnsi="仿宋" w:eastAsia="仿宋"/>
          <w:color w:val="000000"/>
          <w:sz w:val="32"/>
          <w:szCs w:val="32"/>
        </w:rPr>
        <w:t>”，积极</w:t>
      </w:r>
      <w:r>
        <w:rPr>
          <w:rFonts w:ascii="仿宋" w:hAnsi="仿宋" w:eastAsia="仿宋"/>
          <w:color w:val="000000"/>
          <w:sz w:val="32"/>
          <w:szCs w:val="32"/>
        </w:rPr>
        <w:t>推动</w:t>
      </w:r>
      <w:r>
        <w:rPr>
          <w:rFonts w:hint="eastAsia" w:ascii="仿宋" w:hAnsi="仿宋" w:eastAsia="仿宋"/>
          <w:color w:val="000000"/>
          <w:sz w:val="32"/>
          <w:szCs w:val="32"/>
          <w:lang w:eastAsia="zh-CN"/>
        </w:rPr>
        <w:t>适用于</w:t>
      </w:r>
      <w:r>
        <w:rPr>
          <w:rFonts w:ascii="仿宋" w:hAnsi="仿宋" w:eastAsia="仿宋"/>
          <w:color w:val="000000"/>
          <w:sz w:val="32"/>
          <w:szCs w:val="32"/>
        </w:rPr>
        <w:t>“</w:t>
      </w:r>
      <w:r>
        <w:rPr>
          <w:rFonts w:hint="eastAsia" w:ascii="仿宋" w:hAnsi="仿宋" w:eastAsia="仿宋"/>
          <w:color w:val="000000"/>
          <w:sz w:val="32"/>
          <w:szCs w:val="32"/>
        </w:rPr>
        <w:t>赤道</w:t>
      </w:r>
      <w:r>
        <w:rPr>
          <w:rFonts w:ascii="仿宋" w:hAnsi="仿宋" w:eastAsia="仿宋"/>
          <w:color w:val="000000"/>
          <w:sz w:val="32"/>
          <w:szCs w:val="32"/>
        </w:rPr>
        <w:t>原则”</w:t>
      </w:r>
      <w:r>
        <w:rPr>
          <w:rFonts w:hint="eastAsia" w:ascii="仿宋" w:hAnsi="仿宋" w:eastAsia="仿宋"/>
          <w:color w:val="000000"/>
          <w:sz w:val="32"/>
          <w:szCs w:val="32"/>
        </w:rPr>
        <w:t>的融资</w:t>
      </w:r>
      <w:r>
        <w:rPr>
          <w:rFonts w:ascii="仿宋" w:hAnsi="仿宋" w:eastAsia="仿宋"/>
          <w:color w:val="000000"/>
          <w:sz w:val="32"/>
          <w:szCs w:val="32"/>
        </w:rPr>
        <w:t>项目落地</w:t>
      </w:r>
      <w:r>
        <w:rPr>
          <w:rFonts w:hint="eastAsia" w:ascii="仿宋" w:hAnsi="仿宋" w:eastAsia="仿宋"/>
          <w:color w:val="000000"/>
          <w:sz w:val="32"/>
          <w:szCs w:val="32"/>
        </w:rPr>
        <w:t>。</w:t>
      </w:r>
      <w:r>
        <w:rPr>
          <w:rFonts w:hint="eastAsia" w:ascii="仿宋" w:hAnsi="仿宋" w:eastAsia="仿宋"/>
          <w:color w:val="000000"/>
          <w:sz w:val="32"/>
          <w:szCs w:val="32"/>
          <w:lang w:eastAsia="zh-CN"/>
        </w:rPr>
        <w:t>我行</w:t>
      </w:r>
      <w:r>
        <w:rPr>
          <w:rFonts w:hint="eastAsia" w:ascii="仿宋" w:hAnsi="仿宋" w:eastAsia="仿宋" w:cs="仿宋"/>
          <w:color w:val="000000"/>
          <w:sz w:val="32"/>
          <w:szCs w:val="32"/>
        </w:rPr>
        <w:t>对</w:t>
      </w:r>
      <w:r>
        <w:rPr>
          <w:rFonts w:hint="eastAsia" w:ascii="仿宋" w:hAnsi="仿宋" w:eastAsia="仿宋" w:cs="仿宋"/>
          <w:color w:val="000000"/>
          <w:sz w:val="32"/>
          <w:szCs w:val="32"/>
          <w:lang w:eastAsia="zh-CN"/>
        </w:rPr>
        <w:t>适用</w:t>
      </w:r>
      <w:r>
        <w:rPr>
          <w:rFonts w:hint="eastAsia" w:ascii="仿宋" w:hAnsi="仿宋" w:eastAsia="仿宋" w:cs="仿宋"/>
          <w:color w:val="000000"/>
          <w:sz w:val="32"/>
          <w:szCs w:val="32"/>
        </w:rPr>
        <w:t>“赤道原则”的新增项目贷款，要求分支机构对环境风险进</w:t>
      </w:r>
      <w:r>
        <w:rPr>
          <w:rFonts w:hint="eastAsia" w:ascii="仿宋" w:hAnsi="仿宋" w:eastAsia="仿宋" w:cs="仿宋"/>
          <w:color w:val="000000"/>
          <w:sz w:val="32"/>
          <w:szCs w:val="32"/>
          <w:lang w:val="zh-TW"/>
        </w:rPr>
        <w:t>行评价，并填写《采纳“赤道原则”项目评价报告》</w:t>
      </w:r>
      <w:r>
        <w:rPr>
          <w:rFonts w:hint="eastAsia" w:ascii="仿宋" w:hAnsi="仿宋" w:eastAsia="仿宋" w:cs="仿宋"/>
          <w:color w:val="000000"/>
          <w:sz w:val="32"/>
          <w:szCs w:val="32"/>
          <w:lang w:val="zh-TW" w:eastAsia="zh-CN"/>
        </w:rPr>
        <w:t>（</w:t>
      </w:r>
      <w:r>
        <w:rPr>
          <w:rFonts w:hint="eastAsia" w:ascii="仿宋" w:hAnsi="仿宋" w:eastAsia="仿宋" w:cs="仿宋"/>
          <w:color w:val="000000"/>
          <w:sz w:val="32"/>
          <w:szCs w:val="32"/>
          <w:lang w:val="zh-TW"/>
        </w:rPr>
        <w:t>试行），存量贷款</w:t>
      </w:r>
      <w:r>
        <w:rPr>
          <w:rFonts w:hint="eastAsia" w:ascii="仿宋" w:hAnsi="仿宋" w:eastAsia="仿宋" w:cs="仿宋"/>
          <w:color w:val="000000"/>
          <w:sz w:val="32"/>
          <w:szCs w:val="32"/>
          <w:lang w:val="zh-TW" w:eastAsia="zh-CN"/>
        </w:rPr>
        <w:t>进行</w:t>
      </w:r>
      <w:r>
        <w:rPr>
          <w:rFonts w:hint="eastAsia" w:ascii="仿宋" w:hAnsi="仿宋" w:eastAsia="仿宋" w:cs="仿宋"/>
          <w:color w:val="000000"/>
          <w:sz w:val="32"/>
          <w:szCs w:val="32"/>
          <w:lang w:val="zh-TW"/>
        </w:rPr>
        <w:t>逐步补充调查。</w:t>
      </w:r>
      <w:r>
        <w:rPr>
          <w:rFonts w:hint="eastAsia" w:ascii="黑体" w:hAnsi="黑体" w:eastAsia="黑体"/>
          <w:color w:val="000000"/>
          <w:sz w:val="32"/>
          <w:szCs w:val="32"/>
        </w:rPr>
        <w:t xml:space="preserve"> </w:t>
      </w:r>
      <w:r>
        <w:rPr>
          <w:rFonts w:hint="eastAsia" w:ascii="仿宋" w:hAnsi="仿宋" w:eastAsia="仿宋" w:cs="仿宋"/>
          <w:color w:val="000000"/>
          <w:sz w:val="32"/>
          <w:szCs w:val="32"/>
          <w:lang w:eastAsia="zh-CN"/>
        </w:rPr>
        <w:t>截止</w:t>
      </w:r>
      <w:r>
        <w:rPr>
          <w:rFonts w:hint="eastAsia" w:ascii="仿宋" w:hAnsi="仿宋" w:eastAsia="仿宋"/>
          <w:color w:val="000000"/>
          <w:sz w:val="32"/>
          <w:szCs w:val="32"/>
          <w:lang w:val="en-US" w:eastAsia="zh-CN"/>
        </w:rPr>
        <w:t>2020年末，我行</w:t>
      </w:r>
      <w:r>
        <w:rPr>
          <w:rFonts w:hint="eastAsia" w:ascii="仿宋" w:hAnsi="仿宋" w:eastAsia="仿宋"/>
          <w:color w:val="000000"/>
          <w:sz w:val="32"/>
          <w:szCs w:val="32"/>
          <w:lang w:eastAsia="zh-CN"/>
        </w:rPr>
        <w:t>为适用于“赤道原则”的项目已</w:t>
      </w:r>
      <w:r>
        <w:rPr>
          <w:rFonts w:hint="eastAsia" w:ascii="仿宋" w:hAnsi="仿宋" w:eastAsia="仿宋"/>
          <w:color w:val="000000"/>
          <w:sz w:val="32"/>
          <w:szCs w:val="32"/>
        </w:rPr>
        <w:t>提供1.2亿</w:t>
      </w:r>
      <w:r>
        <w:rPr>
          <w:rFonts w:ascii="仿宋" w:hAnsi="仿宋" w:eastAsia="仿宋"/>
          <w:color w:val="000000"/>
          <w:sz w:val="32"/>
          <w:szCs w:val="32"/>
        </w:rPr>
        <w:t>元</w:t>
      </w:r>
      <w:r>
        <w:rPr>
          <w:rFonts w:hint="eastAsia" w:ascii="仿宋" w:hAnsi="仿宋" w:eastAsia="仿宋"/>
          <w:color w:val="000000"/>
          <w:sz w:val="32"/>
          <w:szCs w:val="32"/>
          <w:lang w:eastAsia="zh-CN"/>
        </w:rPr>
        <w:t>的</w:t>
      </w:r>
      <w:r>
        <w:rPr>
          <w:rFonts w:hint="eastAsia" w:ascii="仿宋" w:hAnsi="仿宋" w:eastAsia="仿宋"/>
          <w:color w:val="000000"/>
          <w:sz w:val="32"/>
          <w:szCs w:val="32"/>
        </w:rPr>
        <w:t>授信</w:t>
      </w:r>
      <w:r>
        <w:rPr>
          <w:rFonts w:hint="eastAsia" w:ascii="仿宋" w:hAnsi="仿宋" w:eastAsia="仿宋"/>
          <w:color w:val="000000"/>
          <w:sz w:val="32"/>
          <w:szCs w:val="32"/>
          <w:lang w:eastAsia="zh-CN"/>
        </w:rPr>
        <w:t>支持。</w:t>
      </w:r>
    </w:p>
    <w:p>
      <w:pPr>
        <w:widowControl w:val="0"/>
        <w:wordWrap/>
        <w:adjustRightInd/>
        <w:snapToGrid/>
        <w:spacing w:line="590" w:lineRule="exact"/>
        <w:ind w:left="0" w:leftChars="0" w:right="0" w:firstLine="640" w:firstLineChars="200"/>
        <w:jc w:val="both"/>
        <w:textAlignment w:val="auto"/>
        <w:outlineLvl w:val="0"/>
        <w:rPr>
          <w:rFonts w:ascii="黑体" w:hAnsi="黑体" w:eastAsia="黑体" w:cs="仿宋"/>
          <w:color w:val="000000"/>
          <w:sz w:val="32"/>
          <w:szCs w:val="32"/>
        </w:rPr>
      </w:pPr>
      <w:bookmarkStart w:id="17" w:name="_Toc13984"/>
      <w:bookmarkStart w:id="18" w:name="_Toc23339693"/>
      <w:bookmarkStart w:id="19" w:name="_Toc23339955"/>
      <w:bookmarkStart w:id="20" w:name="_Toc12991"/>
      <w:r>
        <w:rPr>
          <w:rFonts w:hint="eastAsia" w:ascii="黑体" w:hAnsi="黑体" w:eastAsia="黑体" w:cs="仿宋"/>
          <w:color w:val="000000"/>
          <w:sz w:val="32"/>
          <w:szCs w:val="32"/>
          <w:lang w:eastAsia="zh-CN"/>
        </w:rPr>
        <w:t>七</w:t>
      </w:r>
      <w:r>
        <w:rPr>
          <w:rFonts w:hint="eastAsia" w:ascii="黑体" w:hAnsi="黑体" w:eastAsia="黑体" w:cs="仿宋"/>
          <w:color w:val="000000"/>
          <w:sz w:val="32"/>
          <w:szCs w:val="32"/>
        </w:rPr>
        <w:t>、投融资活动的环境影响</w:t>
      </w:r>
      <w:bookmarkEnd w:id="17"/>
      <w:bookmarkEnd w:id="18"/>
      <w:bookmarkEnd w:id="19"/>
      <w:bookmarkEnd w:id="20"/>
    </w:p>
    <w:p>
      <w:pPr>
        <w:widowControl w:val="0"/>
        <w:wordWrap/>
        <w:adjustRightInd/>
        <w:snapToGrid/>
        <w:spacing w:line="590" w:lineRule="exact"/>
        <w:ind w:left="0" w:leftChars="0" w:right="0" w:firstLine="643" w:firstLineChars="200"/>
        <w:textAlignment w:val="auto"/>
        <w:outlineLvl w:val="9"/>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（一）整体绿色投融资情况及其对环境的影响</w:t>
      </w:r>
    </w:p>
    <w:p>
      <w:pPr>
        <w:widowControl w:val="0"/>
        <w:wordWrap/>
        <w:adjustRightInd/>
        <w:snapToGrid/>
        <w:spacing w:line="590" w:lineRule="exact"/>
        <w:ind w:left="0" w:leftChars="0" w:right="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000000"/>
          <w:sz w:val="32"/>
          <w:szCs w:val="32"/>
        </w:rPr>
        <w:t>我行高度重视绿色信贷</w:t>
      </w:r>
      <w:r>
        <w:rPr>
          <w:rFonts w:hint="eastAsia" w:ascii="仿宋" w:hAnsi="仿宋" w:eastAsia="仿宋" w:cs="仿宋"/>
          <w:color w:val="000000"/>
          <w:sz w:val="32"/>
          <w:szCs w:val="32"/>
          <w:lang w:eastAsia="zh-CN"/>
        </w:rPr>
        <w:t>发展</w:t>
      </w:r>
      <w:r>
        <w:rPr>
          <w:rFonts w:hint="eastAsia" w:ascii="仿宋" w:hAnsi="仿宋" w:eastAsia="仿宋" w:cs="仿宋"/>
          <w:color w:val="000000"/>
          <w:sz w:val="32"/>
          <w:szCs w:val="32"/>
        </w:rPr>
        <w:t>，严格按照《中国银监会关于印发绿色信贷指引的通知》（银监发〔2012〕4号）等文件要求，积极推进绿色信贷工作</w:t>
      </w:r>
      <w:r>
        <w:rPr>
          <w:rFonts w:hint="eastAsia" w:ascii="仿宋" w:hAnsi="仿宋" w:eastAsia="仿宋" w:cs="仿宋"/>
          <w:color w:val="000000"/>
          <w:sz w:val="32"/>
          <w:szCs w:val="32"/>
          <w:lang w:eastAsia="zh-CN"/>
        </w:rPr>
        <w:t>，在</w:t>
      </w:r>
      <w:r>
        <w:rPr>
          <w:rFonts w:hint="eastAsia" w:ascii="仿宋" w:hAnsi="仿宋" w:eastAsia="仿宋" w:cs="仿宋"/>
          <w:color w:val="000000"/>
          <w:sz w:val="32"/>
          <w:szCs w:val="32"/>
        </w:rPr>
        <w:t>授信政策</w:t>
      </w:r>
      <w:r>
        <w:rPr>
          <w:rFonts w:hint="eastAsia" w:ascii="仿宋" w:hAnsi="仿宋" w:eastAsia="仿宋" w:cs="仿宋"/>
          <w:color w:val="000000"/>
          <w:sz w:val="32"/>
          <w:szCs w:val="32"/>
          <w:lang w:eastAsia="zh-CN"/>
        </w:rPr>
        <w:t>上</w:t>
      </w:r>
      <w:r>
        <w:rPr>
          <w:rFonts w:hint="eastAsia" w:ascii="仿宋" w:hAnsi="仿宋" w:eastAsia="仿宋" w:cs="仿宋"/>
          <w:color w:val="000000"/>
          <w:sz w:val="32"/>
          <w:szCs w:val="32"/>
        </w:rPr>
        <w:t>持续支持。</w:t>
      </w:r>
      <w:r>
        <w:rPr>
          <w:rFonts w:hint="eastAsia" w:ascii="仿宋" w:hAnsi="仿宋" w:eastAsia="仿宋" w:cs="方正清仿宋 简 Bold"/>
          <w:color w:val="000000"/>
          <w:sz w:val="32"/>
          <w:szCs w:val="32"/>
          <w:lang w:eastAsia="zh-CN"/>
        </w:rPr>
        <w:t>截至</w:t>
      </w:r>
      <w:r>
        <w:rPr>
          <w:rFonts w:hint="eastAsia" w:ascii="仿宋" w:hAnsi="仿宋" w:eastAsia="仿宋" w:cs="方正清仿宋 简 Bold"/>
          <w:color w:val="000000"/>
          <w:sz w:val="32"/>
          <w:szCs w:val="32"/>
        </w:rPr>
        <w:t>2020年末，</w:t>
      </w:r>
      <w:r>
        <w:rPr>
          <w:rFonts w:hint="eastAsia" w:ascii="仿宋" w:hAnsi="仿宋" w:eastAsia="仿宋" w:cs="方正清仿宋 简 Bold"/>
          <w:color w:val="000000"/>
          <w:sz w:val="32"/>
          <w:szCs w:val="32"/>
          <w:lang w:eastAsia="zh-CN"/>
        </w:rPr>
        <w:t>我行</w:t>
      </w:r>
      <w:r>
        <w:rPr>
          <w:rFonts w:hint="eastAsia" w:ascii="仿宋" w:hAnsi="仿宋" w:eastAsia="仿宋" w:cs="方正清仿宋 简 Bold"/>
          <w:color w:val="000000"/>
          <w:sz w:val="32"/>
          <w:szCs w:val="32"/>
        </w:rPr>
        <w:t>绿色贷款余额2.833亿元</w:t>
      </w:r>
      <w:r>
        <w:rPr>
          <w:rFonts w:hint="eastAsia" w:ascii="仿宋" w:hAnsi="仿宋" w:eastAsia="仿宋" w:cs="方正清仿宋 简 Bold"/>
          <w:color w:val="000000"/>
          <w:sz w:val="32"/>
          <w:szCs w:val="32"/>
          <w:lang w:eastAsia="zh-CN"/>
        </w:rPr>
        <w:t>；经测算，</w:t>
      </w:r>
      <w:r>
        <w:rPr>
          <w:rFonts w:hint="eastAsia" w:ascii="仿宋" w:hAnsi="仿宋" w:eastAsia="仿宋" w:cs="方正清仿宋 简 Bold"/>
          <w:color w:val="000000" w:themeColor="text1"/>
          <w:sz w:val="32"/>
          <w:szCs w:val="32"/>
          <w:lang w:eastAsia="zh-CN"/>
        </w:rPr>
        <w:t>其中</w:t>
      </w:r>
      <w:r>
        <w:rPr>
          <w:rFonts w:hint="eastAsia" w:ascii="仿宋" w:hAnsi="仿宋" w:eastAsia="仿宋" w:cs="方正清仿宋 简 Bold"/>
          <w:color w:val="000000" w:themeColor="text1"/>
          <w:sz w:val="32"/>
          <w:szCs w:val="32"/>
        </w:rPr>
        <w:t>绿色项目贷款实现节约标准煤约</w:t>
      </w:r>
      <w:r>
        <w:rPr>
          <w:rFonts w:hint="eastAsia" w:ascii="仿宋" w:hAnsi="仿宋" w:eastAsia="仿宋" w:cs="方正清仿宋 简 Bold"/>
          <w:color w:val="000000" w:themeColor="text1"/>
          <w:sz w:val="32"/>
          <w:szCs w:val="32"/>
          <w:lang w:val="en-US" w:eastAsia="zh-CN"/>
        </w:rPr>
        <w:t>15052</w:t>
      </w:r>
      <w:r>
        <w:rPr>
          <w:rFonts w:hint="eastAsia" w:ascii="仿宋" w:hAnsi="仿宋" w:eastAsia="仿宋" w:cs="方正清仿宋 简 Bold"/>
          <w:color w:val="000000" w:themeColor="text1"/>
          <w:sz w:val="32"/>
          <w:szCs w:val="32"/>
        </w:rPr>
        <w:t>吨，减少二氧化碳约</w:t>
      </w:r>
      <w:r>
        <w:rPr>
          <w:rFonts w:hint="eastAsia" w:ascii="仿宋" w:hAnsi="仿宋" w:eastAsia="仿宋" w:cs="方正清仿宋 简 Bold"/>
          <w:color w:val="000000" w:themeColor="text1"/>
          <w:sz w:val="32"/>
          <w:szCs w:val="32"/>
          <w:lang w:val="en-US" w:eastAsia="zh-CN"/>
        </w:rPr>
        <w:t>46890</w:t>
      </w:r>
      <w:r>
        <w:rPr>
          <w:rFonts w:hint="eastAsia" w:ascii="仿宋" w:hAnsi="仿宋" w:eastAsia="仿宋" w:cs="方正清仿宋 简 Bold"/>
          <w:color w:val="000000" w:themeColor="text1"/>
          <w:sz w:val="32"/>
          <w:szCs w:val="32"/>
        </w:rPr>
        <w:t>吨。</w:t>
      </w:r>
    </w:p>
    <w:p>
      <w:pPr>
        <w:spacing w:line="240" w:lineRule="atLeast"/>
        <w:jc w:val="center"/>
        <w:rPr>
          <w:rFonts w:hint="eastAsia" w:ascii="宋体" w:hAnsi="宋体" w:eastAsia="宋体" w:cs="宋体"/>
          <w:bCs/>
          <w:color w:val="000000"/>
          <w:sz w:val="28"/>
          <w:szCs w:val="28"/>
          <w:lang w:val="zh-TW"/>
        </w:rPr>
      </w:pPr>
      <w:r>
        <w:rPr>
          <w:rFonts w:hint="eastAsia" w:ascii="宋体" w:hAnsi="宋体" w:eastAsia="宋体" w:cs="宋体"/>
          <w:bCs/>
          <w:color w:val="000000"/>
          <w:sz w:val="28"/>
          <w:szCs w:val="28"/>
          <w:lang w:val="zh-TW"/>
        </w:rPr>
        <w:t>表</w:t>
      </w:r>
      <w:r>
        <w:rPr>
          <w:rFonts w:hint="eastAsia" w:ascii="宋体" w:hAnsi="宋体" w:cs="宋体"/>
          <w:bCs/>
          <w:color w:val="000000"/>
          <w:sz w:val="28"/>
          <w:szCs w:val="28"/>
          <w:lang w:val="en-US" w:eastAsia="zh-CN"/>
        </w:rPr>
        <w:t>3：</w:t>
      </w:r>
      <w:r>
        <w:rPr>
          <w:rFonts w:hint="eastAsia" w:ascii="宋体" w:hAnsi="宋体" w:eastAsia="宋体" w:cs="宋体"/>
          <w:bCs/>
          <w:color w:val="000000"/>
          <w:sz w:val="28"/>
          <w:szCs w:val="28"/>
        </w:rPr>
        <w:t>绿色信贷投融资情况</w:t>
      </w:r>
      <w:r>
        <w:rPr>
          <w:rFonts w:hint="eastAsia" w:ascii="宋体" w:hAnsi="宋体" w:eastAsia="宋体" w:cs="宋体"/>
          <w:bCs/>
          <w:color w:val="000000"/>
          <w:sz w:val="28"/>
          <w:szCs w:val="28"/>
          <w:lang w:val="zh-TW"/>
        </w:rPr>
        <w:t>对环境产生的影响</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012"/>
        <w:gridCol w:w="4282"/>
        <w:gridCol w:w="15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jc w:val="center"/>
        </w:trPr>
        <w:tc>
          <w:tcPr>
            <w:tcW w:w="3012" w:type="dxa"/>
            <w:tcBorders>
              <w:top w:val="single" w:color="auto" w:sz="4" w:space="0"/>
              <w:left w:val="single" w:color="auto" w:sz="4" w:space="0"/>
              <w:bottom w:val="single" w:color="auto" w:sz="4" w:space="0"/>
              <w:right w:val="single" w:color="auto" w:sz="4" w:space="0"/>
            </w:tcBorders>
            <w:shd w:val="clear" w:color="auto" w:fill="455F51"/>
            <w:vAlign w:val="center"/>
          </w:tcPr>
          <w:p>
            <w:pPr>
              <w:spacing w:line="240" w:lineRule="atLeast"/>
              <w:jc w:val="center"/>
              <w:rPr>
                <w:rFonts w:hint="eastAsia" w:ascii="宋体" w:hAnsi="宋体" w:eastAsia="宋体" w:cs="宋体"/>
                <w:b/>
                <w:bCs/>
                <w:color w:val="FFFFFF"/>
                <w:sz w:val="28"/>
                <w:szCs w:val="28"/>
                <w:highlight w:val="none"/>
                <w:shd w:val="clear" w:color="auto" w:fill="auto"/>
              </w:rPr>
            </w:pPr>
            <w:bookmarkStart w:id="21" w:name="RANGE!A1"/>
            <w:r>
              <w:rPr>
                <w:rFonts w:hint="eastAsia" w:ascii="宋体" w:hAnsi="宋体" w:eastAsia="宋体" w:cs="宋体"/>
                <w:b/>
                <w:bCs/>
                <w:color w:val="FFFFFF"/>
                <w:sz w:val="28"/>
                <w:szCs w:val="28"/>
                <w:highlight w:val="none"/>
                <w:shd w:val="clear" w:color="auto" w:fill="auto"/>
              </w:rPr>
              <w:t>指标名称</w:t>
            </w:r>
            <w:bookmarkEnd w:id="21"/>
          </w:p>
        </w:tc>
        <w:tc>
          <w:tcPr>
            <w:tcW w:w="4282" w:type="dxa"/>
            <w:tcBorders>
              <w:top w:val="single" w:color="auto" w:sz="4" w:space="0"/>
              <w:left w:val="nil"/>
              <w:bottom w:val="single" w:color="auto" w:sz="4" w:space="0"/>
              <w:right w:val="single" w:color="auto" w:sz="4" w:space="0"/>
            </w:tcBorders>
            <w:shd w:val="clear" w:color="auto" w:fill="455F51"/>
            <w:vAlign w:val="center"/>
          </w:tcPr>
          <w:p>
            <w:pPr>
              <w:spacing w:line="240" w:lineRule="atLeast"/>
              <w:jc w:val="center"/>
              <w:rPr>
                <w:rFonts w:hint="eastAsia" w:ascii="宋体" w:hAnsi="宋体" w:eastAsia="宋体" w:cs="宋体"/>
                <w:b/>
                <w:bCs/>
                <w:color w:val="FFFFFF"/>
                <w:sz w:val="28"/>
                <w:szCs w:val="28"/>
                <w:highlight w:val="none"/>
                <w:shd w:val="clear" w:color="auto" w:fill="auto"/>
              </w:rPr>
            </w:pPr>
            <w:r>
              <w:rPr>
                <w:rFonts w:hint="eastAsia" w:ascii="宋体" w:hAnsi="宋体" w:eastAsia="宋体" w:cs="宋体"/>
                <w:b/>
                <w:bCs/>
                <w:color w:val="FFFFFF"/>
                <w:sz w:val="28"/>
                <w:szCs w:val="28"/>
                <w:highlight w:val="none"/>
                <w:shd w:val="clear" w:color="auto" w:fill="auto"/>
              </w:rPr>
              <w:t>披露细项</w:t>
            </w:r>
          </w:p>
        </w:tc>
        <w:tc>
          <w:tcPr>
            <w:tcW w:w="1550" w:type="dxa"/>
            <w:tcBorders>
              <w:top w:val="single" w:color="auto" w:sz="4" w:space="0"/>
              <w:left w:val="nil"/>
              <w:bottom w:val="single" w:color="auto" w:sz="4" w:space="0"/>
              <w:right w:val="single" w:color="auto" w:sz="4" w:space="0"/>
            </w:tcBorders>
            <w:shd w:val="clear" w:color="auto" w:fill="455F51"/>
            <w:vAlign w:val="center"/>
          </w:tcPr>
          <w:p>
            <w:pPr>
              <w:spacing w:line="240" w:lineRule="atLeast"/>
              <w:jc w:val="center"/>
              <w:rPr>
                <w:rFonts w:hint="eastAsia" w:ascii="宋体" w:hAnsi="宋体" w:eastAsia="宋体" w:cs="宋体"/>
                <w:b/>
                <w:bCs/>
                <w:color w:val="FFFFFF"/>
                <w:sz w:val="28"/>
                <w:szCs w:val="28"/>
                <w:highlight w:val="none"/>
                <w:shd w:val="clear" w:color="auto" w:fill="auto"/>
              </w:rPr>
            </w:pPr>
            <w:r>
              <w:rPr>
                <w:rFonts w:hint="eastAsia" w:ascii="宋体" w:hAnsi="宋体" w:eastAsia="宋体" w:cs="宋体"/>
                <w:b/>
                <w:bCs/>
                <w:color w:val="FFFFFF"/>
                <w:sz w:val="28"/>
                <w:szCs w:val="28"/>
                <w:highlight w:val="none"/>
                <w:shd w:val="clear" w:color="auto" w:fill="auto"/>
              </w:rPr>
              <w:t>披露数据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3012" w:type="dxa"/>
            <w:vMerge w:val="restart"/>
            <w:tcBorders>
              <w:top w:val="nil"/>
              <w:left w:val="single" w:color="auto" w:sz="4" w:space="0"/>
              <w:bottom w:val="single" w:color="auto" w:sz="4" w:space="0"/>
              <w:right w:val="single" w:color="auto" w:sz="4" w:space="0"/>
            </w:tcBorders>
            <w:shd w:val="clear" w:color="auto" w:fill="86A795"/>
            <w:vAlign w:val="center"/>
          </w:tcPr>
          <w:p>
            <w:pPr>
              <w:spacing w:line="24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rPr>
              <w:t>绿色信贷余额及占比</w:t>
            </w:r>
          </w:p>
        </w:tc>
        <w:tc>
          <w:tcPr>
            <w:tcW w:w="4282" w:type="dxa"/>
            <w:tcBorders>
              <w:top w:val="nil"/>
              <w:left w:val="nil"/>
              <w:bottom w:val="single" w:color="auto" w:sz="4" w:space="0"/>
              <w:right w:val="single" w:color="auto" w:sz="4" w:space="0"/>
            </w:tcBorders>
            <w:shd w:val="clear" w:color="auto" w:fill="D6E1DB"/>
            <w:vAlign w:val="center"/>
          </w:tcPr>
          <w:p>
            <w:pPr>
              <w:spacing w:line="24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rPr>
              <w:t>绿色信贷余额（</w:t>
            </w:r>
            <w:r>
              <w:rPr>
                <w:rFonts w:hint="eastAsia" w:ascii="宋体" w:hAnsi="宋体" w:eastAsia="宋体" w:cs="宋体"/>
                <w:color w:val="000000"/>
                <w:sz w:val="28"/>
                <w:szCs w:val="28"/>
                <w:lang w:eastAsia="zh-CN"/>
              </w:rPr>
              <w:t>亿</w:t>
            </w:r>
            <w:r>
              <w:rPr>
                <w:rFonts w:hint="eastAsia" w:ascii="宋体" w:hAnsi="宋体" w:eastAsia="宋体" w:cs="宋体"/>
                <w:color w:val="000000"/>
                <w:sz w:val="28"/>
                <w:szCs w:val="28"/>
              </w:rPr>
              <w:t>元）</w:t>
            </w:r>
          </w:p>
        </w:tc>
        <w:tc>
          <w:tcPr>
            <w:tcW w:w="1550" w:type="dxa"/>
            <w:tcBorders>
              <w:top w:val="nil"/>
              <w:left w:val="nil"/>
              <w:bottom w:val="single" w:color="auto" w:sz="4" w:space="0"/>
              <w:right w:val="single" w:color="auto" w:sz="4" w:space="0"/>
            </w:tcBorders>
            <w:shd w:val="clear" w:color="auto" w:fill="D6E1DB"/>
            <w:vAlign w:val="center"/>
          </w:tcPr>
          <w:p>
            <w:pPr>
              <w:spacing w:line="240" w:lineRule="atLeast"/>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2.8333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jc w:val="center"/>
        </w:trPr>
        <w:tc>
          <w:tcPr>
            <w:tcW w:w="3012" w:type="dxa"/>
            <w:vMerge w:val="continue"/>
            <w:tcBorders>
              <w:top w:val="nil"/>
              <w:left w:val="single" w:color="auto" w:sz="4" w:space="0"/>
              <w:bottom w:val="single" w:color="auto" w:sz="4" w:space="0"/>
              <w:right w:val="single" w:color="auto" w:sz="4" w:space="0"/>
            </w:tcBorders>
            <w:shd w:val="clear" w:color="auto" w:fill="86A795"/>
            <w:vAlign w:val="center"/>
          </w:tcPr>
          <w:p>
            <w:pPr>
              <w:spacing w:line="240" w:lineRule="atLeast"/>
              <w:ind w:firstLine="616" w:firstLineChars="220"/>
              <w:jc w:val="center"/>
              <w:rPr>
                <w:rFonts w:hint="eastAsia" w:ascii="宋体" w:hAnsi="宋体" w:eastAsia="宋体" w:cs="宋体"/>
                <w:color w:val="000000"/>
                <w:sz w:val="28"/>
                <w:szCs w:val="28"/>
              </w:rPr>
            </w:pPr>
          </w:p>
        </w:tc>
        <w:tc>
          <w:tcPr>
            <w:tcW w:w="4282" w:type="dxa"/>
            <w:tcBorders>
              <w:top w:val="nil"/>
              <w:left w:val="nil"/>
              <w:bottom w:val="single" w:color="auto" w:sz="4" w:space="0"/>
              <w:right w:val="single" w:color="auto" w:sz="4" w:space="0"/>
            </w:tcBorders>
            <w:shd w:val="clear" w:color="auto" w:fill="D6E1DB"/>
            <w:vAlign w:val="center"/>
          </w:tcPr>
          <w:p>
            <w:pPr>
              <w:spacing w:line="24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rPr>
              <w:t>各项贷款余额（</w:t>
            </w:r>
            <w:r>
              <w:rPr>
                <w:rFonts w:hint="eastAsia" w:ascii="宋体" w:hAnsi="宋体" w:eastAsia="宋体" w:cs="宋体"/>
                <w:color w:val="000000"/>
                <w:sz w:val="28"/>
                <w:szCs w:val="28"/>
                <w:lang w:eastAsia="zh-CN"/>
              </w:rPr>
              <w:t>亿</w:t>
            </w:r>
            <w:r>
              <w:rPr>
                <w:rFonts w:hint="eastAsia" w:ascii="宋体" w:hAnsi="宋体" w:eastAsia="宋体" w:cs="宋体"/>
                <w:color w:val="000000"/>
                <w:sz w:val="28"/>
                <w:szCs w:val="28"/>
              </w:rPr>
              <w:t>元）</w:t>
            </w:r>
          </w:p>
        </w:tc>
        <w:tc>
          <w:tcPr>
            <w:tcW w:w="1550" w:type="dxa"/>
            <w:tcBorders>
              <w:top w:val="nil"/>
              <w:left w:val="nil"/>
              <w:bottom w:val="single" w:color="auto" w:sz="4" w:space="0"/>
              <w:right w:val="single" w:color="auto" w:sz="4" w:space="0"/>
            </w:tcBorders>
            <w:shd w:val="clear" w:color="auto" w:fill="D6E1DB"/>
            <w:vAlign w:val="center"/>
          </w:tcPr>
          <w:p>
            <w:pPr>
              <w:spacing w:line="240" w:lineRule="atLeast"/>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634.65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3012" w:type="dxa"/>
            <w:vMerge w:val="continue"/>
            <w:tcBorders>
              <w:top w:val="nil"/>
              <w:left w:val="single" w:color="auto" w:sz="4" w:space="0"/>
              <w:bottom w:val="single" w:color="auto" w:sz="4" w:space="0"/>
              <w:right w:val="single" w:color="auto" w:sz="4" w:space="0"/>
            </w:tcBorders>
            <w:shd w:val="clear" w:color="auto" w:fill="86A795"/>
            <w:vAlign w:val="center"/>
          </w:tcPr>
          <w:p>
            <w:pPr>
              <w:spacing w:line="240" w:lineRule="atLeast"/>
              <w:ind w:firstLine="616" w:firstLineChars="220"/>
              <w:jc w:val="center"/>
              <w:rPr>
                <w:rFonts w:hint="eastAsia" w:ascii="宋体" w:hAnsi="宋体" w:eastAsia="宋体" w:cs="宋体"/>
                <w:color w:val="000000"/>
                <w:sz w:val="28"/>
                <w:szCs w:val="28"/>
              </w:rPr>
            </w:pPr>
          </w:p>
        </w:tc>
        <w:tc>
          <w:tcPr>
            <w:tcW w:w="4282" w:type="dxa"/>
            <w:tcBorders>
              <w:top w:val="nil"/>
              <w:left w:val="nil"/>
              <w:bottom w:val="single" w:color="auto" w:sz="4" w:space="0"/>
              <w:right w:val="single" w:color="auto" w:sz="4" w:space="0"/>
            </w:tcBorders>
            <w:shd w:val="clear" w:color="auto" w:fill="D6E1DB"/>
            <w:vAlign w:val="center"/>
          </w:tcPr>
          <w:p>
            <w:pPr>
              <w:spacing w:line="24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rPr>
              <w:t>绿色信贷占比（%）</w:t>
            </w:r>
          </w:p>
        </w:tc>
        <w:tc>
          <w:tcPr>
            <w:tcW w:w="1550" w:type="dxa"/>
            <w:tcBorders>
              <w:top w:val="nil"/>
              <w:left w:val="nil"/>
              <w:bottom w:val="single" w:color="auto" w:sz="4" w:space="0"/>
              <w:right w:val="single" w:color="auto" w:sz="4" w:space="0"/>
            </w:tcBorders>
            <w:shd w:val="clear" w:color="auto" w:fill="D6E1DB"/>
            <w:vAlign w:val="center"/>
          </w:tcPr>
          <w:p>
            <w:pPr>
              <w:spacing w:line="24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3012" w:type="dxa"/>
            <w:vMerge w:val="restart"/>
            <w:tcBorders>
              <w:top w:val="nil"/>
              <w:left w:val="single" w:color="auto" w:sz="4" w:space="0"/>
              <w:bottom w:val="single" w:color="auto" w:sz="4" w:space="0"/>
              <w:right w:val="single" w:color="auto" w:sz="4" w:space="0"/>
            </w:tcBorders>
            <w:shd w:val="clear" w:color="auto" w:fill="86A795"/>
            <w:vAlign w:val="center"/>
          </w:tcPr>
          <w:p>
            <w:pPr>
              <w:spacing w:line="24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rPr>
              <w:t>绿色信贷金额变动折合减排情况</w:t>
            </w:r>
          </w:p>
        </w:tc>
        <w:tc>
          <w:tcPr>
            <w:tcW w:w="4282" w:type="dxa"/>
            <w:tcBorders>
              <w:top w:val="nil"/>
              <w:left w:val="nil"/>
              <w:bottom w:val="single" w:color="auto" w:sz="4" w:space="0"/>
              <w:right w:val="single" w:color="auto" w:sz="4" w:space="0"/>
            </w:tcBorders>
            <w:shd w:val="clear" w:color="auto" w:fill="D6E1DB"/>
            <w:vAlign w:val="center"/>
          </w:tcPr>
          <w:p>
            <w:pPr>
              <w:spacing w:line="24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rPr>
              <w:t>折合减排标准煤（吨）</w:t>
            </w:r>
          </w:p>
        </w:tc>
        <w:tc>
          <w:tcPr>
            <w:tcW w:w="1550" w:type="dxa"/>
            <w:tcBorders>
              <w:top w:val="nil"/>
              <w:left w:val="nil"/>
              <w:bottom w:val="single" w:color="auto" w:sz="4" w:space="0"/>
              <w:right w:val="single" w:color="auto" w:sz="4" w:space="0"/>
            </w:tcBorders>
            <w:shd w:val="clear" w:color="auto" w:fill="D6E1DB"/>
            <w:vAlign w:val="center"/>
          </w:tcPr>
          <w:p>
            <w:pPr>
              <w:spacing w:line="240" w:lineRule="atLeast"/>
              <w:jc w:val="center"/>
              <w:rPr>
                <w:rFonts w:hint="default" w:ascii="宋体" w:hAnsi="宋体" w:eastAsia="宋体" w:cs="宋体"/>
                <w:color w:val="000000" w:themeColor="text1"/>
                <w:sz w:val="28"/>
                <w:szCs w:val="28"/>
                <w:lang w:val="en-US" w:eastAsia="zh-CN"/>
              </w:rPr>
            </w:pPr>
            <w:r>
              <w:rPr>
                <w:rFonts w:hint="eastAsia" w:ascii="宋体" w:hAnsi="宋体" w:cs="宋体"/>
                <w:color w:val="000000" w:themeColor="text1"/>
                <w:sz w:val="28"/>
                <w:szCs w:val="28"/>
                <w:lang w:val="en-US" w:eastAsia="zh-CN"/>
              </w:rPr>
              <w:t>15052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3012" w:type="dxa"/>
            <w:vMerge w:val="continue"/>
            <w:tcBorders>
              <w:top w:val="nil"/>
              <w:left w:val="single" w:color="auto" w:sz="4" w:space="0"/>
              <w:bottom w:val="single" w:color="auto" w:sz="4" w:space="0"/>
              <w:right w:val="single" w:color="auto" w:sz="4" w:space="0"/>
            </w:tcBorders>
            <w:shd w:val="clear" w:color="auto" w:fill="86A795"/>
            <w:vAlign w:val="center"/>
          </w:tcPr>
          <w:p>
            <w:pPr>
              <w:spacing w:line="240" w:lineRule="atLeast"/>
              <w:ind w:firstLine="616" w:firstLineChars="220"/>
              <w:jc w:val="center"/>
              <w:rPr>
                <w:rFonts w:hint="eastAsia" w:ascii="宋体" w:hAnsi="宋体" w:eastAsia="宋体" w:cs="宋体"/>
                <w:color w:val="000000"/>
                <w:sz w:val="28"/>
                <w:szCs w:val="28"/>
              </w:rPr>
            </w:pPr>
          </w:p>
        </w:tc>
        <w:tc>
          <w:tcPr>
            <w:tcW w:w="4282" w:type="dxa"/>
            <w:tcBorders>
              <w:top w:val="nil"/>
              <w:left w:val="nil"/>
              <w:bottom w:val="single" w:color="auto" w:sz="4" w:space="0"/>
              <w:right w:val="single" w:color="auto" w:sz="4" w:space="0"/>
            </w:tcBorders>
            <w:shd w:val="clear" w:color="auto" w:fill="D6E1DB"/>
            <w:vAlign w:val="center"/>
          </w:tcPr>
          <w:p>
            <w:pPr>
              <w:spacing w:line="24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rPr>
              <w:t>折合减排二氧化碳当量（吨）</w:t>
            </w:r>
          </w:p>
        </w:tc>
        <w:tc>
          <w:tcPr>
            <w:tcW w:w="1550" w:type="dxa"/>
            <w:tcBorders>
              <w:top w:val="nil"/>
              <w:left w:val="nil"/>
              <w:bottom w:val="single" w:color="auto" w:sz="4" w:space="0"/>
              <w:right w:val="single" w:color="auto" w:sz="4" w:space="0"/>
            </w:tcBorders>
            <w:shd w:val="clear" w:color="auto" w:fill="D6E1DB"/>
            <w:vAlign w:val="center"/>
          </w:tcPr>
          <w:p>
            <w:pPr>
              <w:spacing w:line="240" w:lineRule="atLeast"/>
              <w:jc w:val="center"/>
              <w:rPr>
                <w:rFonts w:hint="default" w:ascii="宋体" w:hAnsi="宋体" w:eastAsia="宋体" w:cs="宋体"/>
                <w:color w:val="000000" w:themeColor="text1"/>
                <w:sz w:val="28"/>
                <w:szCs w:val="28"/>
                <w:lang w:val="en-US" w:eastAsia="zh-CN"/>
              </w:rPr>
            </w:pPr>
            <w:r>
              <w:rPr>
                <w:rFonts w:hint="eastAsia" w:ascii="宋体" w:hAnsi="宋体" w:cs="宋体"/>
                <w:color w:val="000000" w:themeColor="text1"/>
                <w:sz w:val="28"/>
                <w:szCs w:val="28"/>
                <w:lang w:val="en-US" w:eastAsia="zh-CN"/>
              </w:rPr>
              <w:t>46890</w:t>
            </w:r>
          </w:p>
        </w:tc>
      </w:tr>
    </w:tbl>
    <w:p>
      <w:pPr>
        <w:pStyle w:val="18"/>
        <w:widowControl/>
        <w:numPr>
          <w:ilvl w:val="1"/>
          <w:numId w:val="0"/>
        </w:numPr>
        <w:wordWrap/>
        <w:adjustRightInd/>
        <w:snapToGrid/>
        <w:spacing w:before="0" w:beforeLines="0" w:after="0" w:afterLines="0" w:line="420" w:lineRule="exact"/>
        <w:ind w:left="0" w:leftChars="0" w:right="0" w:firstLine="560" w:firstLineChars="200"/>
        <w:jc w:val="both"/>
        <w:textAlignment w:val="auto"/>
        <w:outlineLvl w:val="2"/>
        <w:rPr>
          <w:rFonts w:ascii="仿宋" w:hAnsi="仿宋" w:eastAsia="仿宋" w:cs="仿宋"/>
          <w:color w:val="000000"/>
          <w:sz w:val="28"/>
          <w:szCs w:val="28"/>
        </w:rPr>
      </w:pPr>
      <w:r>
        <w:rPr>
          <w:rFonts w:hint="eastAsia" w:ascii="仿宋" w:hAnsi="仿宋" w:eastAsia="仿宋" w:cs="仿宋"/>
          <w:color w:val="000000"/>
          <w:sz w:val="28"/>
          <w:szCs w:val="28"/>
        </w:rPr>
        <w:t>说明：表中“绿色信贷金额变动折合减排情况”只</w:t>
      </w:r>
      <w:r>
        <w:rPr>
          <w:rFonts w:hint="eastAsia" w:ascii="仿宋" w:hAnsi="仿宋" w:eastAsia="仿宋" w:cs="仿宋"/>
          <w:color w:val="000000"/>
          <w:sz w:val="28"/>
          <w:szCs w:val="28"/>
          <w:lang w:eastAsia="zh-CN"/>
        </w:rPr>
        <w:t>包含</w:t>
      </w:r>
      <w:r>
        <w:rPr>
          <w:rFonts w:hint="eastAsia" w:ascii="仿宋" w:hAnsi="仿宋" w:eastAsia="仿宋" w:cs="仿宋"/>
          <w:color w:val="000000"/>
          <w:sz w:val="28"/>
          <w:szCs w:val="28"/>
        </w:rPr>
        <w:t>绿色项目贷款</w:t>
      </w:r>
      <w:r>
        <w:rPr>
          <w:rFonts w:hint="eastAsia" w:ascii="仿宋" w:hAnsi="仿宋" w:eastAsia="仿宋" w:cs="仿宋"/>
          <w:color w:val="000000"/>
          <w:sz w:val="28"/>
          <w:szCs w:val="28"/>
          <w:lang w:eastAsia="zh-CN"/>
        </w:rPr>
        <w:t>，不包含绿色流动资金贷款。</w:t>
      </w:r>
    </w:p>
    <w:p>
      <w:pPr>
        <w:widowControl w:val="0"/>
        <w:wordWrap/>
        <w:adjustRightInd/>
        <w:snapToGrid/>
        <w:spacing w:line="590" w:lineRule="exact"/>
        <w:ind w:left="0" w:leftChars="0" w:right="0" w:firstLine="643" w:firstLineChars="200"/>
        <w:textAlignment w:val="auto"/>
        <w:outlineLvl w:val="9"/>
        <w:rPr>
          <w:rFonts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eastAsia="zh-CN"/>
        </w:rPr>
        <w:t>二</w:t>
      </w:r>
      <w:r>
        <w:rPr>
          <w:rFonts w:hint="eastAsia" w:ascii="楷体" w:hAnsi="楷体" w:eastAsia="楷体" w:cs="楷体"/>
          <w:b/>
          <w:bCs/>
          <w:sz w:val="32"/>
          <w:szCs w:val="32"/>
        </w:rPr>
        <w:t>）投融资环境影响的测算与表达</w:t>
      </w:r>
    </w:p>
    <w:p>
      <w:pPr>
        <w:widowControl w:val="0"/>
        <w:wordWrap/>
        <w:adjustRightInd/>
        <w:snapToGrid/>
        <w:spacing w:line="590" w:lineRule="exact"/>
        <w:ind w:left="0" w:leftChars="0" w:right="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我行主要根据银保监会</w:t>
      </w:r>
      <w:bookmarkStart w:id="22" w:name="_Toc486461242"/>
      <w:bookmarkStart w:id="23" w:name="_Toc486461741"/>
      <w:bookmarkStart w:id="24" w:name="_Toc491186864"/>
      <w:bookmarkStart w:id="25" w:name="_Toc486461673"/>
      <w:bookmarkStart w:id="26" w:name="_Toc486460129"/>
      <w:bookmarkStart w:id="27" w:name="_Toc40868823"/>
      <w:bookmarkStart w:id="28" w:name="_Toc486461088"/>
      <w:bookmarkStart w:id="29" w:name="_Toc477302784"/>
      <w:bookmarkStart w:id="30" w:name="_Toc477302564"/>
      <w:bookmarkStart w:id="31" w:name="_Toc477300741"/>
      <w:bookmarkStart w:id="32" w:name="_Toc477300831"/>
      <w:bookmarkStart w:id="33" w:name="_Toc477301432"/>
      <w:bookmarkStart w:id="34" w:name="_Toc477302181"/>
      <w:bookmarkStart w:id="35" w:name="_Toc491499935"/>
      <w:bookmarkStart w:id="36" w:name="_Toc491440334"/>
      <w:r>
        <w:rPr>
          <w:rFonts w:hint="eastAsia" w:ascii="仿宋" w:hAnsi="仿宋" w:eastAsia="仿宋" w:cs="仿宋"/>
          <w:sz w:val="32"/>
          <w:szCs w:val="32"/>
        </w:rPr>
        <w:t>《绿色信贷项目节能减排量测算指引（2019版）》</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Fonts w:hint="eastAsia" w:ascii="仿宋" w:hAnsi="仿宋" w:eastAsia="仿宋" w:cs="仿宋"/>
          <w:sz w:val="32"/>
          <w:szCs w:val="32"/>
        </w:rPr>
        <w:t>中的测算公式测算</w:t>
      </w:r>
      <w:r>
        <w:rPr>
          <w:rFonts w:hint="eastAsia" w:ascii="仿宋" w:hAnsi="仿宋" w:eastAsia="仿宋" w:cs="仿宋"/>
          <w:sz w:val="32"/>
          <w:szCs w:val="32"/>
          <w:lang w:eastAsia="zh-CN"/>
        </w:rPr>
        <w:t>了</w:t>
      </w:r>
      <w:r>
        <w:rPr>
          <w:rFonts w:hint="eastAsia" w:ascii="仿宋" w:hAnsi="仿宋" w:eastAsia="仿宋" w:cs="仿宋"/>
          <w:sz w:val="32"/>
          <w:szCs w:val="32"/>
        </w:rPr>
        <w:t>绿色项目贷款</w:t>
      </w:r>
      <w:r>
        <w:rPr>
          <w:rFonts w:hint="eastAsia" w:ascii="仿宋" w:hAnsi="仿宋" w:eastAsia="仿宋" w:cs="仿宋"/>
          <w:sz w:val="32"/>
          <w:szCs w:val="32"/>
          <w:lang w:eastAsia="zh-CN"/>
        </w:rPr>
        <w:t>的环境效益</w:t>
      </w:r>
      <w:r>
        <w:rPr>
          <w:rFonts w:hint="eastAsia" w:ascii="仿宋" w:hAnsi="仿宋" w:eastAsia="仿宋" w:cs="仿宋"/>
          <w:sz w:val="32"/>
          <w:szCs w:val="32"/>
        </w:rPr>
        <w:t>，</w:t>
      </w:r>
      <w:r>
        <w:rPr>
          <w:rFonts w:hint="eastAsia" w:ascii="仿宋" w:hAnsi="仿宋" w:eastAsia="仿宋" w:cs="仿宋"/>
          <w:sz w:val="32"/>
          <w:szCs w:val="32"/>
          <w:lang w:eastAsia="zh-CN"/>
        </w:rPr>
        <w:t>暂</w:t>
      </w:r>
      <w:r>
        <w:rPr>
          <w:rFonts w:hint="eastAsia" w:ascii="仿宋" w:hAnsi="仿宋" w:eastAsia="仿宋" w:cs="仿宋"/>
          <w:sz w:val="32"/>
          <w:szCs w:val="32"/>
        </w:rPr>
        <w:t>未测算绿色流动资金贷款</w:t>
      </w:r>
      <w:r>
        <w:rPr>
          <w:rFonts w:hint="eastAsia" w:ascii="仿宋" w:hAnsi="仿宋" w:eastAsia="仿宋" w:cs="仿宋"/>
          <w:sz w:val="32"/>
          <w:szCs w:val="32"/>
          <w:lang w:eastAsia="zh-CN"/>
        </w:rPr>
        <w:t>的</w:t>
      </w:r>
      <w:r>
        <w:rPr>
          <w:rFonts w:hint="eastAsia" w:ascii="仿宋" w:hAnsi="仿宋" w:eastAsia="仿宋" w:cs="仿宋"/>
          <w:sz w:val="32"/>
          <w:szCs w:val="32"/>
        </w:rPr>
        <w:t>环境</w:t>
      </w:r>
      <w:r>
        <w:rPr>
          <w:rFonts w:hint="eastAsia" w:ascii="仿宋" w:hAnsi="仿宋" w:eastAsia="仿宋" w:cs="仿宋"/>
          <w:sz w:val="32"/>
          <w:szCs w:val="32"/>
          <w:lang w:eastAsia="zh-CN"/>
        </w:rPr>
        <w:t>效益</w:t>
      </w:r>
      <w:r>
        <w:rPr>
          <w:rFonts w:hint="eastAsia" w:ascii="仿宋" w:hAnsi="仿宋" w:eastAsia="仿宋" w:cs="仿宋"/>
          <w:sz w:val="32"/>
          <w:szCs w:val="32"/>
        </w:rPr>
        <w:t>。</w:t>
      </w:r>
    </w:p>
    <w:p>
      <w:pPr>
        <w:pStyle w:val="19"/>
        <w:widowControl w:val="0"/>
        <w:tabs>
          <w:tab w:val="left" w:pos="949"/>
        </w:tabs>
        <w:wordWrap/>
        <w:adjustRightInd/>
        <w:snapToGrid/>
        <w:spacing w:line="590" w:lineRule="exact"/>
        <w:ind w:left="0" w:leftChars="0" w:right="0" w:firstLine="640" w:firstLineChars="200"/>
        <w:jc w:val="both"/>
        <w:textAlignment w:val="auto"/>
        <w:outlineLvl w:val="0"/>
        <w:rPr>
          <w:rFonts w:ascii="黑体" w:hAnsi="黑体" w:eastAsia="黑体" w:cs="黑体"/>
          <w:b w:val="0"/>
          <w:bCs w:val="0"/>
          <w:color w:val="000000"/>
          <w:sz w:val="32"/>
          <w:szCs w:val="32"/>
          <w:lang w:val="zh-TW"/>
        </w:rPr>
      </w:pPr>
      <w:bookmarkStart w:id="37" w:name="_Toc23872"/>
      <w:bookmarkStart w:id="38" w:name="_Toc19856"/>
      <w:r>
        <w:rPr>
          <w:rFonts w:hint="eastAsia" w:ascii="黑体" w:hAnsi="黑体" w:eastAsia="黑体" w:cs="黑体"/>
          <w:b w:val="0"/>
          <w:bCs w:val="0"/>
          <w:color w:val="000000"/>
          <w:sz w:val="32"/>
          <w:szCs w:val="32"/>
          <w:lang w:val="zh-TW" w:eastAsia="zh-CN"/>
        </w:rPr>
        <w:t>八</w:t>
      </w:r>
      <w:r>
        <w:rPr>
          <w:rFonts w:hint="eastAsia" w:ascii="黑体" w:hAnsi="黑体" w:eastAsia="黑体" w:cs="黑体"/>
          <w:b w:val="0"/>
          <w:bCs w:val="0"/>
          <w:color w:val="000000"/>
          <w:sz w:val="32"/>
          <w:szCs w:val="32"/>
          <w:lang w:val="zh-TW"/>
        </w:rPr>
        <w:t>、经营活动的环境影响</w:t>
      </w:r>
      <w:bookmarkEnd w:id="37"/>
      <w:bookmarkEnd w:id="38"/>
    </w:p>
    <w:p>
      <w:pPr>
        <w:pStyle w:val="19"/>
        <w:widowControl w:val="0"/>
        <w:tabs>
          <w:tab w:val="left" w:pos="949"/>
        </w:tabs>
        <w:wordWrap/>
        <w:adjustRightInd/>
        <w:snapToGrid/>
        <w:spacing w:line="590" w:lineRule="exact"/>
        <w:ind w:left="0" w:leftChars="0" w:right="0" w:firstLine="643" w:firstLineChars="200"/>
        <w:jc w:val="both"/>
        <w:textAlignment w:val="auto"/>
        <w:rPr>
          <w:rFonts w:ascii="楷体" w:hAnsi="楷体" w:eastAsia="楷体" w:cs="楷体"/>
          <w:b/>
          <w:bCs/>
          <w:color w:val="000000"/>
          <w:sz w:val="32"/>
          <w:szCs w:val="32"/>
          <w:lang w:val="zh-TW"/>
        </w:rPr>
      </w:pPr>
      <w:r>
        <w:rPr>
          <w:rFonts w:hint="eastAsia" w:ascii="楷体" w:hAnsi="楷体" w:eastAsia="楷体" w:cs="楷体"/>
          <w:b/>
          <w:bCs/>
          <w:color w:val="000000"/>
          <w:sz w:val="32"/>
          <w:szCs w:val="32"/>
          <w:lang w:val="zh-TW"/>
        </w:rPr>
        <w:t>（一）经营活动产生的直接温室气体排放和自然资源消耗</w:t>
      </w:r>
    </w:p>
    <w:p>
      <w:pPr>
        <w:pStyle w:val="19"/>
        <w:widowControl w:val="0"/>
        <w:tabs>
          <w:tab w:val="left" w:pos="949"/>
        </w:tabs>
        <w:wordWrap/>
        <w:adjustRightInd/>
        <w:snapToGrid/>
        <w:spacing w:line="590" w:lineRule="exact"/>
        <w:ind w:left="0" w:leftChars="0" w:right="0" w:firstLine="640" w:firstLineChars="200"/>
        <w:jc w:val="both"/>
        <w:textAlignment w:val="auto"/>
        <w:rPr>
          <w:rFonts w:ascii="仿宋" w:hAnsi="仿宋" w:eastAsia="仿宋" w:cs="仿宋"/>
          <w:color w:val="000000"/>
          <w:sz w:val="32"/>
          <w:szCs w:val="32"/>
        </w:rPr>
      </w:pPr>
      <w:r>
        <w:rPr>
          <w:rFonts w:hint="eastAsia" w:ascii="仿宋" w:hAnsi="仿宋" w:eastAsia="仿宋" w:cs="仿宋"/>
          <w:color w:val="000000"/>
          <w:sz w:val="32"/>
          <w:szCs w:val="32"/>
        </w:rPr>
        <w:t>我行自有交通运输工具主要是汽车，因2020年受新冠</w:t>
      </w:r>
      <w:r>
        <w:rPr>
          <w:rFonts w:hint="eastAsia" w:ascii="仿宋" w:hAnsi="仿宋" w:eastAsia="仿宋" w:cs="仿宋"/>
          <w:color w:val="000000"/>
          <w:sz w:val="32"/>
          <w:szCs w:val="32"/>
          <w:lang w:eastAsia="zh-CN"/>
        </w:rPr>
        <w:t>肺炎</w:t>
      </w:r>
      <w:r>
        <w:rPr>
          <w:rFonts w:hint="eastAsia" w:ascii="仿宋" w:hAnsi="仿宋" w:eastAsia="仿宋" w:cs="仿宋"/>
          <w:color w:val="000000"/>
          <w:sz w:val="32"/>
          <w:szCs w:val="32"/>
        </w:rPr>
        <w:t>疫情影响，对大巴、铁路等比较密闭的公交工具的搭乘有</w:t>
      </w:r>
      <w:r>
        <w:rPr>
          <w:rFonts w:hint="eastAsia" w:ascii="仿宋" w:hAnsi="仿宋" w:eastAsia="仿宋" w:cs="仿宋"/>
          <w:color w:val="000000"/>
          <w:sz w:val="32"/>
          <w:szCs w:val="32"/>
          <w:lang w:eastAsia="zh-CN"/>
        </w:rPr>
        <w:t>一段时间的限制</w:t>
      </w:r>
      <w:r>
        <w:rPr>
          <w:rFonts w:hint="eastAsia" w:ascii="仿宋" w:hAnsi="仿宋" w:eastAsia="仿宋" w:cs="仿宋"/>
          <w:color w:val="000000"/>
          <w:sz w:val="32"/>
          <w:szCs w:val="32"/>
        </w:rPr>
        <w:t>，同时随着业务的扩增，网点建设的大力推进，各方面均对公务用车的需求有一定的增加。2020年度所消耗汽油约为295000升，较2019年增加2.8</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经营及生产性用水共约39000吨，较2019年下降9.3</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w:t>
      </w:r>
    </w:p>
    <w:p>
      <w:pPr>
        <w:pStyle w:val="19"/>
        <w:widowControl w:val="0"/>
        <w:tabs>
          <w:tab w:val="left" w:pos="949"/>
        </w:tabs>
        <w:wordWrap/>
        <w:adjustRightInd/>
        <w:snapToGrid/>
        <w:spacing w:line="590" w:lineRule="exact"/>
        <w:ind w:left="0" w:leftChars="0" w:right="0" w:firstLine="643" w:firstLineChars="200"/>
        <w:jc w:val="both"/>
        <w:textAlignment w:val="auto"/>
        <w:rPr>
          <w:rFonts w:ascii="仿宋" w:hAnsi="仿宋" w:eastAsia="仿宋" w:cs="仿宋"/>
          <w:color w:val="auto"/>
          <w:sz w:val="32"/>
          <w:szCs w:val="32"/>
          <w:lang w:val="zh-TW"/>
        </w:rPr>
      </w:pPr>
      <w:r>
        <w:rPr>
          <w:rFonts w:hint="eastAsia" w:ascii="楷体" w:hAnsi="楷体" w:eastAsia="楷体" w:cs="楷体"/>
          <w:b/>
          <w:bCs/>
          <w:color w:val="auto"/>
          <w:sz w:val="32"/>
          <w:szCs w:val="32"/>
          <w:lang w:val="zh-TW"/>
        </w:rPr>
        <w:t>（二）采购的产品或服务所产生的间接温室气体排放和间接自然资源消耗</w:t>
      </w:r>
    </w:p>
    <w:p>
      <w:pPr>
        <w:pStyle w:val="19"/>
        <w:widowControl w:val="0"/>
        <w:tabs>
          <w:tab w:val="left" w:pos="949"/>
        </w:tabs>
        <w:wordWrap/>
        <w:adjustRightInd/>
        <w:snapToGrid/>
        <w:spacing w:line="590" w:lineRule="exact"/>
        <w:ind w:left="0" w:leftChars="0" w:right="0" w:firstLine="640" w:firstLineChars="200"/>
        <w:jc w:val="both"/>
        <w:textAlignment w:val="auto"/>
        <w:rPr>
          <w:rFonts w:hint="eastAsia" w:ascii="仿宋" w:hAnsi="仿宋" w:eastAsia="仿宋" w:cs="仿宋"/>
          <w:sz w:val="32"/>
          <w:szCs w:val="32"/>
        </w:rPr>
      </w:pPr>
      <w:r>
        <w:rPr>
          <w:rFonts w:hint="eastAsia" w:ascii="仿宋" w:hAnsi="仿宋" w:eastAsia="仿宋" w:cs="仿宋"/>
          <w:b w:val="0"/>
          <w:bCs/>
          <w:color w:val="auto"/>
          <w:sz w:val="32"/>
          <w:szCs w:val="32"/>
          <w:lang w:val="zh-TW" w:eastAsia="zh-CN"/>
        </w:rPr>
        <w:t>本行</w:t>
      </w:r>
      <w:r>
        <w:rPr>
          <w:rFonts w:hint="eastAsia" w:ascii="仿宋" w:hAnsi="仿宋" w:eastAsia="仿宋" w:cs="仿宋"/>
          <w:color w:val="auto"/>
          <w:sz w:val="32"/>
          <w:szCs w:val="32"/>
          <w:lang w:val="zh-TW"/>
        </w:rPr>
        <w:t>各</w:t>
      </w:r>
      <w:r>
        <w:rPr>
          <w:rFonts w:hint="eastAsia" w:ascii="仿宋" w:hAnsi="仿宋" w:eastAsia="仿宋" w:cs="仿宋"/>
          <w:color w:val="auto"/>
          <w:sz w:val="32"/>
          <w:szCs w:val="32"/>
          <w:lang w:val="zh-TW" w:eastAsia="zh-CN"/>
        </w:rPr>
        <w:t>办公</w:t>
      </w:r>
      <w:r>
        <w:rPr>
          <w:rFonts w:hint="eastAsia" w:ascii="仿宋" w:hAnsi="仿宋" w:eastAsia="仿宋" w:cs="仿宋"/>
          <w:color w:val="auto"/>
          <w:sz w:val="32"/>
          <w:szCs w:val="32"/>
          <w:lang w:val="zh-TW"/>
        </w:rPr>
        <w:t>楼在每年3至6月、9至11月降低空调使用频次，减少用电能耗。同时在夏季时，建议各单位空调温度设置不得低于26度；冬季时，各单位空调温度设置不得高于20度，并且做到无人时不开空调，开空调时关闭门窗。另外，要求各工作区、办公室在下班前应关闭空调、电脑、灯具、饮水机、碎纸机等用电设施，并安排物业人员定时巡检。在硬件设施上，要求卫生间排风机及大楼过道灯等尽量使用声控设备，减少不必要的用电。</w:t>
      </w:r>
      <w:r>
        <w:rPr>
          <w:rFonts w:hint="eastAsia" w:ascii="仿宋" w:hAnsi="仿宋" w:eastAsia="仿宋"/>
          <w:sz w:val="32"/>
          <w:szCs w:val="32"/>
        </w:rPr>
        <w:t>鼓励大楼工作人员上下楼采取步行楼梯，加强身体锻炼的同时，减少电梯使用，并要求物业在非工作日关闭电梯电源，降低运营成本。</w:t>
      </w:r>
      <w:r>
        <w:rPr>
          <w:rFonts w:hint="eastAsia" w:ascii="仿宋" w:hAnsi="仿宋" w:eastAsia="仿宋"/>
          <w:sz w:val="32"/>
          <w:szCs w:val="32"/>
          <w:lang w:val="en-US" w:eastAsia="zh-CN"/>
        </w:rPr>
        <w:t>2020年，</w:t>
      </w:r>
      <w:r>
        <w:rPr>
          <w:rFonts w:hint="eastAsia" w:ascii="仿宋" w:hAnsi="仿宋" w:eastAsia="仿宋" w:cs="仿宋"/>
          <w:color w:val="auto"/>
          <w:sz w:val="32"/>
          <w:szCs w:val="32"/>
          <w:lang w:val="zh-TW"/>
        </w:rPr>
        <w:t>我行营业、办公所消耗的用电量约783.6万千瓦时</w:t>
      </w:r>
      <w:r>
        <w:rPr>
          <w:rFonts w:hint="eastAsia" w:ascii="仿宋" w:hAnsi="仿宋" w:eastAsia="仿宋" w:cs="仿宋"/>
          <w:color w:val="000000"/>
          <w:sz w:val="32"/>
          <w:szCs w:val="32"/>
        </w:rPr>
        <w:t>，较2019年下降2.6</w:t>
      </w:r>
      <w:r>
        <w:rPr>
          <w:rFonts w:hint="eastAsia" w:ascii="仿宋" w:hAnsi="仿宋" w:eastAsia="仿宋" w:cs="仿宋"/>
          <w:color w:val="000000"/>
          <w:sz w:val="32"/>
          <w:szCs w:val="32"/>
          <w:lang w:val="en-US" w:eastAsia="zh-CN"/>
        </w:rPr>
        <w:t>%</w:t>
      </w:r>
      <w:r>
        <w:rPr>
          <w:rFonts w:hint="eastAsia" w:ascii="仿宋" w:hAnsi="仿宋" w:eastAsia="仿宋" w:cs="仿宋"/>
          <w:color w:val="auto"/>
          <w:sz w:val="32"/>
          <w:szCs w:val="32"/>
          <w:lang w:val="zh-TW"/>
        </w:rPr>
        <w:t>。</w:t>
      </w:r>
      <w:r>
        <w:rPr>
          <w:rFonts w:hint="eastAsia" w:ascii="仿宋" w:hAnsi="仿宋" w:eastAsia="仿宋" w:cs="仿宋"/>
          <w:sz w:val="32"/>
          <w:szCs w:val="32"/>
        </w:rPr>
        <w:t>2020年我行正式跨入千亿银行队伍，随着业务的扩展和人员的增加，全年用纸70.6吨，较2019年增加35</w:t>
      </w:r>
      <w:r>
        <w:rPr>
          <w:rFonts w:hint="eastAsia" w:ascii="仿宋" w:hAnsi="仿宋" w:eastAsia="仿宋" w:cs="仿宋"/>
          <w:sz w:val="32"/>
          <w:szCs w:val="32"/>
          <w:lang w:val="en-US" w:eastAsia="zh-CN"/>
        </w:rPr>
        <w:t>%</w:t>
      </w:r>
      <w:r>
        <w:rPr>
          <w:rFonts w:hint="eastAsia" w:ascii="仿宋" w:hAnsi="仿宋" w:eastAsia="仿宋" w:cs="仿宋"/>
          <w:sz w:val="32"/>
          <w:szCs w:val="32"/>
        </w:rPr>
        <w:t>。</w:t>
      </w:r>
    </w:p>
    <w:p>
      <w:pPr>
        <w:pStyle w:val="19"/>
        <w:widowControl w:val="0"/>
        <w:tabs>
          <w:tab w:val="left" w:pos="949"/>
        </w:tabs>
        <w:wordWrap/>
        <w:adjustRightInd/>
        <w:snapToGrid/>
        <w:spacing w:line="590" w:lineRule="exact"/>
        <w:ind w:left="0" w:leftChars="0" w:right="0" w:firstLine="643" w:firstLineChars="200"/>
        <w:jc w:val="both"/>
        <w:textAlignment w:val="auto"/>
        <w:rPr>
          <w:rFonts w:hint="eastAsia" w:ascii="楷体" w:hAnsi="楷体" w:eastAsia="楷体" w:cs="楷体"/>
          <w:b/>
          <w:bCs/>
          <w:color w:val="auto"/>
          <w:sz w:val="32"/>
          <w:szCs w:val="32"/>
          <w:lang w:val="zh-TW"/>
        </w:rPr>
      </w:pPr>
      <w:bookmarkStart w:id="39" w:name="_Toc24953"/>
      <w:r>
        <w:rPr>
          <w:rFonts w:hint="eastAsia" w:ascii="楷体" w:hAnsi="楷体" w:eastAsia="楷体" w:cs="楷体"/>
          <w:b/>
          <w:bCs/>
          <w:color w:val="auto"/>
          <w:sz w:val="32"/>
          <w:szCs w:val="32"/>
          <w:lang w:val="zh-TW" w:eastAsia="zh-CN"/>
        </w:rPr>
        <w:t>（三）</w:t>
      </w:r>
      <w:r>
        <w:rPr>
          <w:rFonts w:hint="eastAsia" w:ascii="楷体" w:hAnsi="楷体" w:eastAsia="楷体" w:cs="楷体"/>
          <w:b/>
          <w:bCs/>
          <w:color w:val="auto"/>
          <w:sz w:val="32"/>
          <w:szCs w:val="32"/>
          <w:lang w:val="zh-TW"/>
        </w:rPr>
        <w:t>环保措施所产生的</w:t>
      </w:r>
      <w:bookmarkEnd w:id="39"/>
      <w:r>
        <w:rPr>
          <w:rFonts w:hint="eastAsia" w:ascii="楷体" w:hAnsi="楷体" w:eastAsia="楷体" w:cs="楷体"/>
          <w:b/>
          <w:bCs/>
          <w:color w:val="auto"/>
          <w:sz w:val="32"/>
          <w:szCs w:val="32"/>
          <w:lang w:val="zh-TW" w:eastAsia="zh-CN"/>
        </w:rPr>
        <w:t>环境效益</w:t>
      </w:r>
    </w:p>
    <w:p>
      <w:pPr>
        <w:pStyle w:val="19"/>
        <w:widowControl w:val="0"/>
        <w:tabs>
          <w:tab w:val="left" w:pos="949"/>
        </w:tabs>
        <w:wordWrap/>
        <w:adjustRightInd/>
        <w:snapToGrid/>
        <w:spacing w:line="590" w:lineRule="exact"/>
        <w:ind w:left="0" w:leftChars="0" w:right="0" w:firstLine="643" w:firstLineChars="200"/>
        <w:jc w:val="both"/>
        <w:textAlignment w:val="auto"/>
        <w:rPr>
          <w:rFonts w:hint="eastAsia" w:ascii="楷体" w:hAnsi="楷体" w:eastAsia="楷体" w:cs="楷体"/>
          <w:b/>
          <w:bCs/>
          <w:color w:val="auto"/>
          <w:sz w:val="32"/>
          <w:szCs w:val="32"/>
          <w:lang w:val="zh-TW"/>
        </w:rPr>
      </w:pPr>
      <w:r>
        <w:rPr>
          <w:rFonts w:hint="eastAsia" w:ascii="仿宋" w:hAnsi="仿宋" w:eastAsia="仿宋" w:cs="仿宋"/>
          <w:b/>
          <w:bCs/>
          <w:color w:val="000000"/>
          <w:sz w:val="32"/>
          <w:szCs w:val="32"/>
          <w:lang w:val="en-US" w:eastAsia="zh-CN"/>
        </w:rPr>
        <w:t>1.</w:t>
      </w:r>
      <w:r>
        <w:rPr>
          <w:rFonts w:hint="eastAsia" w:ascii="仿宋" w:hAnsi="仿宋" w:eastAsia="仿宋" w:cs="仿宋"/>
          <w:b/>
          <w:bCs/>
          <w:color w:val="000000"/>
          <w:sz w:val="32"/>
          <w:szCs w:val="32"/>
          <w:lang w:val="zh-TW"/>
        </w:rPr>
        <w:t>开展线上业务、无纸化办公、建筑节能改造等所节约或替代的资源和能源消耗</w:t>
      </w:r>
      <w:r>
        <w:rPr>
          <w:rFonts w:hint="eastAsia" w:ascii="仿宋" w:hAnsi="仿宋" w:eastAsia="仿宋" w:cs="仿宋"/>
          <w:b/>
          <w:bCs/>
          <w:color w:val="000000"/>
          <w:sz w:val="32"/>
          <w:szCs w:val="32"/>
          <w:lang w:val="zh-TW" w:eastAsia="zh-CN"/>
        </w:rPr>
        <w:t>。</w:t>
      </w:r>
    </w:p>
    <w:p>
      <w:pPr>
        <w:pStyle w:val="19"/>
        <w:widowControl w:val="0"/>
        <w:tabs>
          <w:tab w:val="left" w:pos="949"/>
        </w:tabs>
        <w:wordWrap/>
        <w:adjustRightInd/>
        <w:snapToGrid/>
        <w:spacing w:line="590" w:lineRule="exact"/>
        <w:ind w:left="0" w:leftChars="0" w:right="0" w:firstLine="640" w:firstLineChars="200"/>
        <w:jc w:val="both"/>
        <w:textAlignment w:val="auto"/>
        <w:rPr>
          <w:rStyle w:val="29"/>
          <w:rFonts w:ascii="仿宋" w:hAnsi="仿宋" w:eastAsia="仿宋"/>
          <w:sz w:val="32"/>
          <w:szCs w:val="32"/>
        </w:rPr>
      </w:pPr>
      <w:r>
        <w:rPr>
          <w:rStyle w:val="29"/>
          <w:rFonts w:hint="eastAsia" w:ascii="仿宋" w:hAnsi="仿宋" w:eastAsia="仿宋"/>
          <w:sz w:val="32"/>
          <w:szCs w:val="32"/>
        </w:rPr>
        <w:t>通过全面推进OA无纸化办公，全行的公文发文线上流转处理率达95%以上，外部来文线上处理率达70%以上，较2019年提升5</w:t>
      </w:r>
      <w:r>
        <w:rPr>
          <w:rStyle w:val="29"/>
          <w:rFonts w:hint="eastAsia" w:ascii="仿宋" w:hAnsi="仿宋" w:eastAsia="仿宋"/>
          <w:sz w:val="32"/>
          <w:szCs w:val="32"/>
          <w:lang w:val="en-US" w:eastAsia="zh-CN"/>
        </w:rPr>
        <w:t>%</w:t>
      </w:r>
      <w:r>
        <w:rPr>
          <w:rStyle w:val="29"/>
          <w:rFonts w:hint="eastAsia" w:ascii="仿宋" w:hAnsi="仿宋" w:eastAsia="仿宋"/>
          <w:sz w:val="32"/>
          <w:szCs w:val="32"/>
        </w:rPr>
        <w:t>以上；2020年线上流程处理表单达66111次，通过网络协同处理事项19004项，线上处理率较2019年提升8.5%，既提升了工作效率，又节省了纸张使用。2020年通过视频召开的会议占全行性会议的60%，较2019年提升了15%，</w:t>
      </w:r>
      <w:r>
        <w:rPr>
          <w:rStyle w:val="29"/>
          <w:rFonts w:hint="eastAsia" w:ascii="仿宋" w:hAnsi="仿宋" w:eastAsia="仿宋"/>
          <w:sz w:val="32"/>
          <w:szCs w:val="32"/>
          <w:lang w:eastAsia="zh-CN"/>
        </w:rPr>
        <w:t>既</w:t>
      </w:r>
      <w:r>
        <w:rPr>
          <w:rStyle w:val="29"/>
          <w:rFonts w:hint="eastAsia" w:ascii="仿宋" w:hAnsi="仿宋" w:eastAsia="仿宋"/>
          <w:sz w:val="32"/>
          <w:szCs w:val="32"/>
        </w:rPr>
        <w:t>提升了会议效率，</w:t>
      </w:r>
      <w:r>
        <w:rPr>
          <w:rStyle w:val="29"/>
          <w:rFonts w:hint="eastAsia" w:ascii="仿宋" w:hAnsi="仿宋" w:eastAsia="仿宋"/>
          <w:sz w:val="32"/>
          <w:szCs w:val="32"/>
          <w:lang w:eastAsia="zh-CN"/>
        </w:rPr>
        <w:t>又</w:t>
      </w:r>
      <w:r>
        <w:rPr>
          <w:rStyle w:val="29"/>
          <w:rFonts w:hint="eastAsia" w:ascii="仿宋" w:hAnsi="仿宋" w:eastAsia="仿宋"/>
          <w:sz w:val="32"/>
          <w:szCs w:val="32"/>
        </w:rPr>
        <w:t>减少了基层单位人员的往返奔波。</w:t>
      </w:r>
    </w:p>
    <w:p>
      <w:pPr>
        <w:pStyle w:val="19"/>
        <w:widowControl w:val="0"/>
        <w:tabs>
          <w:tab w:val="left" w:pos="949"/>
        </w:tabs>
        <w:wordWrap/>
        <w:adjustRightInd/>
        <w:snapToGrid/>
        <w:spacing w:line="590" w:lineRule="exact"/>
        <w:ind w:left="0" w:leftChars="0" w:right="0" w:firstLine="640" w:firstLineChars="200"/>
        <w:jc w:val="both"/>
        <w:textAlignment w:val="auto"/>
        <w:rPr>
          <w:rStyle w:val="29"/>
          <w:rFonts w:ascii="仿宋" w:hAnsi="仿宋" w:eastAsia="仿宋"/>
          <w:sz w:val="32"/>
          <w:szCs w:val="32"/>
        </w:rPr>
      </w:pPr>
      <w:r>
        <w:rPr>
          <w:rStyle w:val="29"/>
          <w:rFonts w:hint="eastAsia" w:ascii="仿宋" w:hAnsi="仿宋" w:eastAsia="仿宋"/>
          <w:sz w:val="32"/>
          <w:szCs w:val="32"/>
        </w:rPr>
        <w:t>在全行范围倡导员工迈开腿</w:t>
      </w:r>
      <w:r>
        <w:rPr>
          <w:rStyle w:val="29"/>
          <w:rFonts w:hint="eastAsia" w:ascii="仿宋" w:hAnsi="仿宋" w:eastAsia="仿宋"/>
          <w:sz w:val="32"/>
          <w:szCs w:val="32"/>
          <w:lang w:eastAsia="zh-CN"/>
        </w:rPr>
        <w:t>、</w:t>
      </w:r>
      <w:r>
        <w:rPr>
          <w:rStyle w:val="29"/>
          <w:rFonts w:hint="eastAsia" w:ascii="仿宋" w:hAnsi="仿宋" w:eastAsia="仿宋"/>
          <w:sz w:val="32"/>
          <w:szCs w:val="32"/>
        </w:rPr>
        <w:t>走起来。让健康走进生活，让生活远离尾气。要求外出办事的工作人员在少于3人的情况下，尽量采用步行或乘坐公交车，节约燃油，减少尾气排放；对出差的人员要求尽可能乘坐动车或高铁等交通工具，同时加强长途行车的管理，加强出行安全，减少汽车能耗；动员全行员工上下班尽量采取步行或乘坐公交车（包括休假），倡导绿色出行。</w:t>
      </w:r>
    </w:p>
    <w:p>
      <w:pPr>
        <w:pStyle w:val="19"/>
        <w:widowControl w:val="0"/>
        <w:tabs>
          <w:tab w:val="left" w:pos="949"/>
        </w:tabs>
        <w:wordWrap/>
        <w:adjustRightInd/>
        <w:snapToGrid/>
        <w:spacing w:line="590" w:lineRule="exact"/>
        <w:ind w:left="0" w:leftChars="0" w:right="0" w:firstLine="640" w:firstLineChars="200"/>
        <w:jc w:val="both"/>
        <w:textAlignment w:val="auto"/>
        <w:rPr>
          <w:rStyle w:val="29"/>
          <w:rFonts w:ascii="仿宋" w:hAnsi="仿宋" w:eastAsia="仿宋"/>
          <w:sz w:val="32"/>
          <w:szCs w:val="32"/>
        </w:rPr>
      </w:pPr>
      <w:r>
        <w:rPr>
          <w:rStyle w:val="29"/>
          <w:rFonts w:hint="eastAsia" w:ascii="仿宋" w:hAnsi="仿宋" w:eastAsia="仿宋"/>
          <w:sz w:val="32"/>
          <w:szCs w:val="32"/>
        </w:rPr>
        <w:t>在全行工程建设中</w:t>
      </w:r>
      <w:r>
        <w:rPr>
          <w:rStyle w:val="29"/>
          <w:rFonts w:ascii="仿宋" w:hAnsi="仿宋" w:eastAsia="仿宋"/>
          <w:sz w:val="32"/>
          <w:szCs w:val="32"/>
        </w:rPr>
        <w:t>注重</w:t>
      </w:r>
      <w:r>
        <w:rPr>
          <w:rStyle w:val="29"/>
          <w:rFonts w:hint="eastAsia" w:ascii="仿宋" w:hAnsi="仿宋" w:eastAsia="仿宋"/>
          <w:sz w:val="32"/>
          <w:szCs w:val="32"/>
        </w:rPr>
        <w:t>绿色</w:t>
      </w:r>
      <w:r>
        <w:rPr>
          <w:rStyle w:val="29"/>
          <w:rFonts w:ascii="仿宋" w:hAnsi="仿宋" w:eastAsia="仿宋"/>
          <w:sz w:val="32"/>
          <w:szCs w:val="32"/>
        </w:rPr>
        <w:t>环保</w:t>
      </w:r>
      <w:r>
        <w:rPr>
          <w:rStyle w:val="29"/>
          <w:rFonts w:hint="eastAsia" w:ascii="仿宋" w:hAnsi="仿宋" w:eastAsia="仿宋"/>
          <w:sz w:val="32"/>
          <w:szCs w:val="32"/>
        </w:rPr>
        <w:t>。一是加强规划引导。引入绿色施工概念，加强队伍环保意识，提高用工技术标准。二是加强</w:t>
      </w:r>
      <w:r>
        <w:rPr>
          <w:rStyle w:val="29"/>
          <w:rFonts w:ascii="仿宋" w:hAnsi="仿宋" w:eastAsia="仿宋"/>
          <w:sz w:val="32"/>
          <w:szCs w:val="32"/>
        </w:rPr>
        <w:t>设备管理</w:t>
      </w:r>
      <w:r>
        <w:rPr>
          <w:rStyle w:val="29"/>
          <w:rFonts w:hint="eastAsia" w:ascii="仿宋" w:hAnsi="仿宋" w:eastAsia="仿宋"/>
          <w:sz w:val="32"/>
          <w:szCs w:val="32"/>
        </w:rPr>
        <w:t>。施工建设尽量选用高效节能的设备，合理安排工序，提高各种机械的使用率和满载率。实行用电计量管理，严格控制施工阶段的用电量，条件可能的情况下，充分利用太阳能。三是加强</w:t>
      </w:r>
      <w:r>
        <w:rPr>
          <w:rStyle w:val="29"/>
          <w:rFonts w:ascii="仿宋" w:hAnsi="仿宋" w:eastAsia="仿宋"/>
          <w:sz w:val="32"/>
          <w:szCs w:val="32"/>
        </w:rPr>
        <w:t>施工管理。</w:t>
      </w:r>
      <w:r>
        <w:rPr>
          <w:rStyle w:val="29"/>
          <w:rFonts w:hint="eastAsia" w:ascii="仿宋" w:hAnsi="仿宋" w:eastAsia="仿宋"/>
          <w:sz w:val="32"/>
          <w:szCs w:val="32"/>
        </w:rPr>
        <w:t>施工中注意对噪音、粉灰等的管理，严格按该区域工程现场管理的要求，在规定时间进行施工，同时要求文明施工，钢筋钢管等材料轻拿轻放，尽量避免发出噪音，作业时注意封闭管理，可适当洒水避免扬尘。另外，对建筑垃圾进行分类管理，按要求进行清理。四是加强用</w:t>
      </w:r>
      <w:r>
        <w:rPr>
          <w:rStyle w:val="29"/>
          <w:rFonts w:ascii="仿宋" w:hAnsi="仿宋" w:eastAsia="仿宋"/>
          <w:sz w:val="32"/>
          <w:szCs w:val="32"/>
        </w:rPr>
        <w:t>材管理。</w:t>
      </w:r>
      <w:r>
        <w:rPr>
          <w:rStyle w:val="29"/>
          <w:rFonts w:hint="eastAsia" w:ascii="仿宋" w:hAnsi="仿宋" w:eastAsia="仿宋"/>
          <w:sz w:val="32"/>
          <w:szCs w:val="32"/>
        </w:rPr>
        <w:t>工程施工坚持选用绿色环保的建筑材料，用料必须符合ISO9001等相关认证，包括但不限于工程用料、油漆、水泥、钢筋、石材等。五是加强</w:t>
      </w:r>
      <w:r>
        <w:rPr>
          <w:rStyle w:val="29"/>
          <w:rFonts w:ascii="仿宋" w:hAnsi="仿宋" w:eastAsia="仿宋"/>
          <w:sz w:val="32"/>
          <w:szCs w:val="32"/>
        </w:rPr>
        <w:t>质量管理。</w:t>
      </w:r>
      <w:r>
        <w:rPr>
          <w:rStyle w:val="29"/>
          <w:rFonts w:hint="eastAsia" w:ascii="仿宋" w:hAnsi="仿宋" w:eastAsia="仿宋"/>
          <w:sz w:val="32"/>
          <w:szCs w:val="32"/>
        </w:rPr>
        <w:t>坚持以点促面，打造明星节约工程、环保工程，降低能耗。</w:t>
      </w:r>
    </w:p>
    <w:p>
      <w:pPr>
        <w:pStyle w:val="19"/>
        <w:widowControl w:val="0"/>
        <w:tabs>
          <w:tab w:val="left" w:pos="949"/>
        </w:tabs>
        <w:wordWrap/>
        <w:adjustRightInd/>
        <w:snapToGrid/>
        <w:spacing w:line="590" w:lineRule="exact"/>
        <w:ind w:left="0" w:leftChars="0" w:right="0" w:firstLine="643" w:firstLineChars="200"/>
        <w:jc w:val="both"/>
        <w:textAlignment w:val="auto"/>
        <w:rPr>
          <w:rFonts w:hint="eastAsia" w:ascii="仿宋" w:hAnsi="仿宋" w:eastAsia="仿宋" w:cs="仿宋"/>
          <w:b/>
          <w:bCs/>
          <w:color w:val="000000"/>
          <w:sz w:val="32"/>
          <w:szCs w:val="32"/>
          <w:lang w:val="zh-TW" w:eastAsia="zh-CN"/>
        </w:rPr>
      </w:pPr>
      <w:r>
        <w:rPr>
          <w:rFonts w:hint="eastAsia" w:ascii="仿宋" w:hAnsi="仿宋" w:eastAsia="仿宋" w:cs="仿宋"/>
          <w:b/>
          <w:bCs/>
          <w:color w:val="000000"/>
          <w:sz w:val="32"/>
          <w:szCs w:val="32"/>
          <w:lang w:val="en-US" w:eastAsia="zh-CN"/>
        </w:rPr>
        <w:t>2.</w:t>
      </w:r>
      <w:r>
        <w:rPr>
          <w:rFonts w:hint="eastAsia" w:ascii="仿宋" w:hAnsi="仿宋" w:eastAsia="仿宋" w:cs="仿宋"/>
          <w:b/>
          <w:bCs/>
          <w:color w:val="000000"/>
          <w:sz w:val="32"/>
          <w:szCs w:val="32"/>
          <w:lang w:val="zh-TW"/>
        </w:rPr>
        <w:t>为提升环保意识所举办的培训活动或公益活动情况</w:t>
      </w:r>
      <w:r>
        <w:rPr>
          <w:rFonts w:hint="eastAsia" w:ascii="仿宋" w:hAnsi="仿宋" w:eastAsia="仿宋" w:cs="仿宋"/>
          <w:b/>
          <w:bCs/>
          <w:color w:val="000000"/>
          <w:sz w:val="32"/>
          <w:szCs w:val="32"/>
          <w:lang w:val="zh-TW" w:eastAsia="zh-CN"/>
        </w:rPr>
        <w:t>。</w:t>
      </w:r>
    </w:p>
    <w:p>
      <w:pPr>
        <w:widowControl w:val="0"/>
        <w:wordWrap/>
        <w:adjustRightInd/>
        <w:snapToGrid/>
        <w:spacing w:line="590" w:lineRule="exact"/>
        <w:ind w:left="0" w:leftChars="0" w:right="0" w:firstLine="640" w:firstLineChars="200"/>
        <w:jc w:val="both"/>
        <w:textAlignment w:val="auto"/>
        <w:rPr>
          <w:rFonts w:ascii="仿宋" w:hAnsi="仿宋" w:eastAsia="仿宋"/>
          <w:b w:val="0"/>
          <w:bCs/>
          <w:i w:val="0"/>
          <w:iCs/>
          <w:color w:val="000000"/>
          <w:sz w:val="32"/>
          <w:szCs w:val="32"/>
        </w:rPr>
      </w:pPr>
      <w:r>
        <w:rPr>
          <w:rFonts w:hint="eastAsia" w:ascii="仿宋" w:hAnsi="仿宋" w:eastAsia="仿宋"/>
          <w:sz w:val="32"/>
          <w:szCs w:val="32"/>
        </w:rPr>
        <w:t>我行</w:t>
      </w:r>
      <w:r>
        <w:rPr>
          <w:rFonts w:ascii="仿宋" w:hAnsi="仿宋" w:eastAsia="仿宋"/>
          <w:sz w:val="32"/>
          <w:szCs w:val="32"/>
        </w:rPr>
        <w:t>积极参与绿色环境公益事业活动。在日常工作中，积极支持参与环保公益事业发展，如组织开展“植树节”活动、保护生态环境、社区义工日、“保护母亲河”等志愿服务活动。积极参与文明城市建设活动，净化美化市民生活环境，提升城市文明建设品质。</w:t>
      </w:r>
      <w:r>
        <w:rPr>
          <w:rFonts w:hint="eastAsia" w:ascii="仿宋" w:hAnsi="仿宋" w:eastAsia="仿宋"/>
          <w:sz w:val="32"/>
          <w:szCs w:val="32"/>
        </w:rPr>
        <w:t>2020年度举办与环境相关的培训及公益共计次数70余次，</w:t>
      </w:r>
      <w:r>
        <w:rPr>
          <w:rFonts w:hint="eastAsia" w:ascii="仿宋" w:hAnsi="仿宋" w:eastAsia="仿宋"/>
          <w:b w:val="0"/>
          <w:bCs/>
          <w:i w:val="0"/>
          <w:iCs/>
          <w:sz w:val="32"/>
          <w:szCs w:val="32"/>
        </w:rPr>
        <w:t>参与人数150余人。</w:t>
      </w:r>
      <w:r>
        <w:rPr>
          <w:rFonts w:ascii="仿宋" w:hAnsi="仿宋" w:eastAsia="仿宋"/>
          <w:b w:val="0"/>
          <w:bCs/>
          <w:i w:val="0"/>
          <w:iCs/>
          <w:sz w:val="32"/>
          <w:szCs w:val="32"/>
        </w:rPr>
        <w:t>2020年，</w:t>
      </w:r>
      <w:r>
        <w:rPr>
          <w:rFonts w:hint="eastAsia" w:ascii="仿宋" w:hAnsi="仿宋" w:eastAsia="仿宋"/>
          <w:b w:val="0"/>
          <w:bCs/>
          <w:i w:val="0"/>
          <w:iCs/>
          <w:sz w:val="32"/>
          <w:szCs w:val="32"/>
        </w:rPr>
        <w:t>我</w:t>
      </w:r>
      <w:r>
        <w:rPr>
          <w:rFonts w:ascii="仿宋" w:hAnsi="仿宋" w:eastAsia="仿宋"/>
          <w:b w:val="0"/>
          <w:bCs/>
          <w:i w:val="0"/>
          <w:iCs/>
          <w:sz w:val="32"/>
          <w:szCs w:val="32"/>
        </w:rPr>
        <w:t>行顺利通过四川省文明单位复查验收，被绵阳市委市政府表彰为2020年度建设全国文明城市先进集体，</w:t>
      </w:r>
      <w:r>
        <w:rPr>
          <w:rFonts w:ascii="仿宋" w:hAnsi="仿宋" w:eastAsia="仿宋"/>
          <w:b w:val="0"/>
          <w:bCs/>
          <w:i w:val="0"/>
          <w:iCs/>
          <w:color w:val="000000"/>
          <w:sz w:val="32"/>
          <w:szCs w:val="32"/>
        </w:rPr>
        <w:t>科教创业园区支行、游仙支行被命名为绵阳市最佳文明单位，总行营业部、安州支行被命名为绵阳市文明单位。</w:t>
      </w:r>
    </w:p>
    <w:p>
      <w:pPr>
        <w:spacing w:line="240" w:lineRule="atLeast"/>
        <w:jc w:val="center"/>
        <w:rPr>
          <w:rFonts w:hint="eastAsia" w:ascii="仿宋" w:hAnsi="仿宋" w:eastAsia="仿宋"/>
          <w:b w:val="0"/>
          <w:bCs/>
          <w:i w:val="0"/>
          <w:iCs/>
          <w:color w:val="000000"/>
          <w:sz w:val="32"/>
          <w:szCs w:val="32"/>
          <w:lang w:eastAsia="zh-CN"/>
        </w:rPr>
      </w:pPr>
      <w:r>
        <w:rPr>
          <w:rFonts w:hint="eastAsia" w:ascii="仿宋" w:hAnsi="仿宋" w:eastAsia="仿宋" w:cs="黑体"/>
          <w:b w:val="0"/>
          <w:bCs/>
          <w:i w:val="0"/>
          <w:iCs/>
          <w:color w:val="000000"/>
          <w:kern w:val="2"/>
          <w:sz w:val="32"/>
          <w:szCs w:val="32"/>
          <w:lang w:val="en-US" w:eastAsia="zh-CN" w:bidi="ar-SA"/>
        </w:rPr>
        <w:pict>
          <v:shape id="_x0000_i1028" o:spt="75" type="#_x0000_t75" style="height:221.4pt;width:347.9pt;" fillcolor="#FFFFFF" filled="f" o:preferrelative="t" stroked="f" coordsize="21600,21600">
            <v:path/>
            <v:fill on="f" color2="#FFFFFF" focussize="0,0"/>
            <v:stroke on="f"/>
            <v:imagedata r:id="rId8" gain="65536f" blacklevel="0f" gamma="0" o:title=""/>
            <o:lock v:ext="edit" position="f" selection="f" grouping="f" rotation="f" cropping="f" text="f" aspectratio="t"/>
            <w10:wrap type="none"/>
            <w10:anchorlock/>
          </v:shape>
        </w:pict>
      </w:r>
    </w:p>
    <w:p>
      <w:pPr>
        <w:spacing w:line="240" w:lineRule="atLeast"/>
        <w:jc w:val="center"/>
        <w:rPr>
          <w:rFonts w:hint="eastAsia" w:ascii="宋体" w:hAnsi="宋体" w:eastAsia="宋体" w:cs="宋体"/>
          <w:b w:val="0"/>
          <w:bCs/>
          <w:i w:val="0"/>
          <w:iCs/>
          <w:color w:val="000000"/>
          <w:kern w:val="2"/>
          <w:sz w:val="28"/>
          <w:szCs w:val="28"/>
          <w:lang w:val="en-US" w:eastAsia="zh-CN" w:bidi="ar-SA"/>
        </w:rPr>
      </w:pPr>
      <w:r>
        <w:rPr>
          <w:rFonts w:hint="eastAsia" w:ascii="宋体" w:hAnsi="宋体" w:eastAsia="宋体" w:cs="宋体"/>
          <w:b w:val="0"/>
          <w:bCs/>
          <w:i w:val="0"/>
          <w:iCs/>
          <w:color w:val="000000"/>
          <w:kern w:val="2"/>
          <w:sz w:val="28"/>
          <w:szCs w:val="28"/>
          <w:lang w:val="en-US" w:eastAsia="zh-CN" w:bidi="ar-SA"/>
        </w:rPr>
        <w:t>图4 ：组织参加社区义工志愿活动</w:t>
      </w:r>
    </w:p>
    <w:p>
      <w:pPr>
        <w:spacing w:line="240" w:lineRule="atLeast"/>
        <w:jc w:val="center"/>
        <w:rPr>
          <w:rFonts w:hint="eastAsia" w:ascii="仿宋" w:hAnsi="仿宋" w:eastAsia="仿宋" w:cs="黑体"/>
          <w:b w:val="0"/>
          <w:bCs/>
          <w:i w:val="0"/>
          <w:iCs/>
          <w:color w:val="000000"/>
          <w:kern w:val="2"/>
          <w:sz w:val="32"/>
          <w:szCs w:val="32"/>
          <w:lang w:val="en-US" w:eastAsia="zh-CN" w:bidi="ar-SA"/>
        </w:rPr>
      </w:pPr>
      <w:r>
        <w:rPr>
          <w:rFonts w:hint="eastAsia" w:ascii="仿宋" w:hAnsi="仿宋" w:eastAsia="仿宋" w:cs="黑体"/>
          <w:b w:val="0"/>
          <w:bCs/>
          <w:i w:val="0"/>
          <w:iCs/>
          <w:color w:val="000000"/>
          <w:kern w:val="2"/>
          <w:sz w:val="32"/>
          <w:szCs w:val="32"/>
          <w:lang w:val="en-US" w:eastAsia="zh-CN" w:bidi="ar-SA"/>
        </w:rPr>
        <w:pict>
          <v:shape id="_x0000_i1029" o:spt="75" type="#_x0000_t75" style="height:219.1pt;width:349.6pt;" fillcolor="#FFFFFF" filled="f" o:preferrelative="t" stroked="f" coordsize="21600,21600">
            <v:path/>
            <v:fill on="f" color2="#FFFFFF" focussize="0,0"/>
            <v:stroke on="f"/>
            <v:imagedata r:id="rId9" gain="65536f" blacklevel="0f" gamma="0" o:title=""/>
            <o:lock v:ext="edit" position="f" selection="f" grouping="f" rotation="f" cropping="f" text="f" aspectratio="t"/>
            <w10:wrap type="none"/>
            <w10:anchorlock/>
          </v:shape>
        </w:pict>
      </w:r>
    </w:p>
    <w:p>
      <w:pPr>
        <w:spacing w:line="240" w:lineRule="atLeast"/>
        <w:jc w:val="center"/>
        <w:rPr>
          <w:rFonts w:hint="eastAsia" w:ascii="宋体" w:hAnsi="宋体" w:eastAsia="宋体" w:cs="宋体"/>
          <w:b w:val="0"/>
          <w:bCs/>
          <w:i w:val="0"/>
          <w:iCs/>
          <w:color w:val="000000"/>
          <w:kern w:val="2"/>
          <w:sz w:val="28"/>
          <w:szCs w:val="28"/>
          <w:lang w:val="en-US" w:eastAsia="zh-CN" w:bidi="ar-SA"/>
        </w:rPr>
      </w:pPr>
      <w:r>
        <w:rPr>
          <w:rFonts w:hint="eastAsia" w:ascii="宋体" w:hAnsi="宋体" w:eastAsia="宋体" w:cs="宋体"/>
          <w:b w:val="0"/>
          <w:bCs/>
          <w:i w:val="0"/>
          <w:iCs/>
          <w:color w:val="000000"/>
          <w:kern w:val="2"/>
          <w:sz w:val="28"/>
          <w:szCs w:val="28"/>
          <w:lang w:val="en-US" w:eastAsia="zh-CN" w:bidi="ar-SA"/>
        </w:rPr>
        <w:t>图5</w:t>
      </w:r>
      <w:r>
        <w:rPr>
          <w:rFonts w:hint="eastAsia" w:ascii="宋体" w:hAnsi="宋体" w:cs="宋体"/>
          <w:b w:val="0"/>
          <w:bCs/>
          <w:i w:val="0"/>
          <w:iCs/>
          <w:color w:val="000000"/>
          <w:kern w:val="2"/>
          <w:sz w:val="28"/>
          <w:szCs w:val="28"/>
          <w:lang w:val="en-US" w:eastAsia="zh-CN" w:bidi="ar-SA"/>
        </w:rPr>
        <w:t>：</w:t>
      </w:r>
      <w:r>
        <w:rPr>
          <w:rFonts w:hint="eastAsia" w:ascii="宋体" w:hAnsi="宋体" w:eastAsia="宋体" w:cs="宋体"/>
          <w:sz w:val="28"/>
          <w:szCs w:val="28"/>
        </w:rPr>
        <w:t>组织开展“植树节”活动</w:t>
      </w:r>
    </w:p>
    <w:p>
      <w:pPr>
        <w:pStyle w:val="20"/>
        <w:numPr>
          <w:ilvl w:val="2"/>
          <w:numId w:val="0"/>
        </w:numPr>
        <w:wordWrap/>
        <w:adjustRightInd/>
        <w:snapToGrid/>
        <w:spacing w:line="590" w:lineRule="exact"/>
        <w:ind w:left="0" w:leftChars="0" w:right="0" w:firstLine="643" w:firstLineChars="200"/>
        <w:jc w:val="both"/>
        <w:textAlignment w:val="auto"/>
        <w:rPr>
          <w:rFonts w:ascii="楷体" w:hAnsi="楷体" w:eastAsia="楷体" w:cs="楷体"/>
          <w:b/>
          <w:bCs/>
          <w:color w:val="000000"/>
          <w:sz w:val="32"/>
          <w:szCs w:val="32"/>
        </w:rPr>
      </w:pPr>
      <w:r>
        <w:rPr>
          <w:rFonts w:hint="eastAsia" w:ascii="楷体" w:hAnsi="楷体" w:eastAsia="楷体" w:cs="楷体"/>
          <w:b/>
          <w:bCs/>
          <w:color w:val="000000"/>
          <w:sz w:val="32"/>
          <w:szCs w:val="32"/>
        </w:rPr>
        <w:t>（</w:t>
      </w:r>
      <w:r>
        <w:rPr>
          <w:rFonts w:hint="eastAsia" w:ascii="楷体" w:hAnsi="楷体" w:eastAsia="楷体" w:cs="楷体"/>
          <w:b/>
          <w:bCs/>
          <w:color w:val="000000"/>
          <w:sz w:val="32"/>
          <w:szCs w:val="32"/>
          <w:lang w:eastAsia="zh-CN"/>
        </w:rPr>
        <w:t>四</w:t>
      </w:r>
      <w:r>
        <w:rPr>
          <w:rFonts w:hint="eastAsia" w:ascii="楷体" w:hAnsi="楷体" w:eastAsia="楷体" w:cs="楷体"/>
          <w:b/>
          <w:bCs/>
          <w:color w:val="000000"/>
          <w:sz w:val="32"/>
          <w:szCs w:val="32"/>
        </w:rPr>
        <w:t>）经营活动环境影响的</w:t>
      </w:r>
      <w:r>
        <w:rPr>
          <w:rFonts w:hint="eastAsia" w:ascii="楷体" w:hAnsi="楷体" w:eastAsia="楷体" w:cs="楷体"/>
          <w:b/>
          <w:bCs/>
          <w:color w:val="000000"/>
          <w:sz w:val="32"/>
          <w:szCs w:val="32"/>
          <w:lang w:eastAsia="zh-CN"/>
        </w:rPr>
        <w:t>量化测算</w:t>
      </w:r>
    </w:p>
    <w:p>
      <w:pPr>
        <w:pStyle w:val="19"/>
        <w:wordWrap/>
        <w:adjustRightInd/>
        <w:snapToGrid/>
        <w:spacing w:line="590" w:lineRule="exact"/>
        <w:ind w:left="0" w:leftChars="0" w:right="0" w:firstLine="643" w:firstLineChars="200"/>
        <w:jc w:val="both"/>
        <w:textAlignment w:val="auto"/>
        <w:rPr>
          <w:rFonts w:ascii="仿宋" w:hAnsi="仿宋" w:eastAsia="仿宋" w:cs="仿宋"/>
          <w:color w:val="000000"/>
          <w:sz w:val="32"/>
          <w:szCs w:val="32"/>
        </w:rPr>
      </w:pPr>
      <w:r>
        <w:rPr>
          <w:rFonts w:ascii="仿宋" w:hAnsi="仿宋" w:eastAsia="仿宋" w:cs="仿宋"/>
          <w:b/>
          <w:color w:val="000000"/>
          <w:sz w:val="32"/>
          <w:szCs w:val="32"/>
        </w:rPr>
        <w:t>1.</w:t>
      </w:r>
      <w:r>
        <w:rPr>
          <w:rFonts w:hint="eastAsia" w:ascii="仿宋" w:hAnsi="仿宋" w:eastAsia="仿宋" w:cs="仿宋"/>
          <w:b/>
          <w:color w:val="000000"/>
          <w:sz w:val="32"/>
          <w:szCs w:val="32"/>
        </w:rPr>
        <w:t>定期公布经营活动的碳足迹以及全职雇员的人均碳足迹。</w:t>
      </w:r>
      <w:r>
        <w:rPr>
          <w:rFonts w:hint="eastAsia" w:ascii="仿宋" w:hAnsi="仿宋" w:eastAsia="仿宋" w:cs="仿宋"/>
          <w:color w:val="000000"/>
          <w:sz w:val="32"/>
          <w:szCs w:val="32"/>
        </w:rPr>
        <w:t>我行未定期公布经营活动的碳足迹以及全职雇员的人均碳足迹，我行正自主积极探索学习测算方式方法，开展碳足迹计算管理工作。</w:t>
      </w:r>
    </w:p>
    <w:p>
      <w:pPr>
        <w:pStyle w:val="19"/>
        <w:wordWrap/>
        <w:adjustRightInd/>
        <w:snapToGrid/>
        <w:spacing w:line="590" w:lineRule="exact"/>
        <w:ind w:left="0" w:leftChars="0" w:right="0" w:firstLine="643" w:firstLineChars="200"/>
        <w:jc w:val="both"/>
        <w:textAlignment w:val="auto"/>
        <w:rPr>
          <w:rFonts w:ascii="仿宋" w:hAnsi="仿宋" w:eastAsia="仿宋" w:cs="仿宋"/>
          <w:color w:val="000000"/>
          <w:sz w:val="32"/>
          <w:szCs w:val="32"/>
        </w:rPr>
      </w:pPr>
      <w:r>
        <w:rPr>
          <w:rFonts w:ascii="仿宋" w:hAnsi="仿宋" w:eastAsia="仿宋" w:cs="仿宋"/>
          <w:b/>
          <w:color w:val="000000"/>
          <w:sz w:val="32"/>
          <w:szCs w:val="32"/>
        </w:rPr>
        <w:t>2.</w:t>
      </w:r>
      <w:r>
        <w:rPr>
          <w:rFonts w:hint="eastAsia" w:ascii="仿宋" w:hAnsi="仿宋" w:eastAsia="仿宋" w:cs="仿宋"/>
          <w:b/>
          <w:color w:val="000000"/>
          <w:sz w:val="32"/>
          <w:szCs w:val="32"/>
          <w:lang w:val="zh-TW"/>
        </w:rPr>
        <w:t>所采取的统计口径与计算方法说明。</w:t>
      </w:r>
      <w:r>
        <w:rPr>
          <w:rFonts w:hint="eastAsia" w:ascii="仿宋" w:hAnsi="仿宋" w:eastAsia="仿宋" w:cs="微软雅黑"/>
          <w:color w:val="000000"/>
          <w:sz w:val="32"/>
          <w:szCs w:val="32"/>
          <w:shd w:val="clear" w:color="auto" w:fill="FFFFFF"/>
        </w:rPr>
        <w:t>我行</w:t>
      </w:r>
      <w:r>
        <w:rPr>
          <w:rFonts w:ascii="仿宋" w:hAnsi="仿宋" w:eastAsia="仿宋" w:cs="微软雅黑"/>
          <w:color w:val="000000"/>
          <w:sz w:val="32"/>
          <w:szCs w:val="32"/>
          <w:shd w:val="clear" w:color="auto" w:fill="FFFFFF"/>
        </w:rPr>
        <w:t>通过</w:t>
      </w:r>
      <w:r>
        <w:rPr>
          <w:rFonts w:hint="eastAsia" w:ascii="仿宋" w:hAnsi="仿宋" w:eastAsia="仿宋" w:cs="微软雅黑"/>
          <w:color w:val="000000"/>
          <w:sz w:val="32"/>
          <w:szCs w:val="32"/>
          <w:shd w:val="clear" w:color="auto" w:fill="FFFFFF"/>
        </w:rPr>
        <w:t>收集全行数据，根据</w:t>
      </w:r>
      <w:r>
        <w:rPr>
          <w:rFonts w:ascii="仿宋" w:hAnsi="仿宋" w:eastAsia="仿宋" w:cs="微软雅黑"/>
          <w:color w:val="000000"/>
          <w:sz w:val="32"/>
          <w:szCs w:val="32"/>
          <w:shd w:val="clear" w:color="auto" w:fill="FFFFFF"/>
        </w:rPr>
        <w:t>联合国气候变化委员会编写的温室气体清单指南，</w:t>
      </w:r>
      <w:r>
        <w:rPr>
          <w:rFonts w:hint="eastAsia" w:ascii="仿宋" w:hAnsi="仿宋" w:eastAsia="仿宋" w:cs="微软雅黑"/>
          <w:color w:val="000000"/>
          <w:sz w:val="32"/>
          <w:szCs w:val="32"/>
          <w:shd w:val="clear" w:color="auto" w:fill="FFFFFF"/>
          <w:lang w:eastAsia="zh-CN"/>
        </w:rPr>
        <w:t>参考</w:t>
      </w:r>
      <w:r>
        <w:rPr>
          <w:rFonts w:ascii="仿宋" w:hAnsi="仿宋" w:eastAsia="仿宋" w:cs="微软雅黑"/>
          <w:color w:val="000000"/>
          <w:sz w:val="32"/>
          <w:szCs w:val="32"/>
          <w:shd w:val="clear" w:color="auto" w:fill="FFFFFF"/>
        </w:rPr>
        <w:t>能源矿物燃料排放量计算（IPCC）</w:t>
      </w:r>
      <w:r>
        <w:rPr>
          <w:rFonts w:hint="eastAsia" w:ascii="仿宋" w:hAnsi="仿宋" w:eastAsia="仿宋" w:cs="微软雅黑"/>
          <w:color w:val="000000"/>
          <w:sz w:val="32"/>
          <w:szCs w:val="32"/>
          <w:shd w:val="clear" w:color="auto" w:fill="FFFFFF"/>
        </w:rPr>
        <w:t>公式，</w:t>
      </w:r>
      <w:r>
        <w:rPr>
          <w:rFonts w:ascii="仿宋" w:hAnsi="仿宋" w:eastAsia="仿宋" w:cs="微软雅黑"/>
          <w:color w:val="000000"/>
          <w:sz w:val="32"/>
          <w:szCs w:val="32"/>
          <w:shd w:val="clear" w:color="auto" w:fill="FFFFFF"/>
        </w:rPr>
        <w:t>在计算过程中全面考虑温室气体排放。</w:t>
      </w:r>
      <w:r>
        <w:rPr>
          <w:rFonts w:hint="eastAsia" w:ascii="仿宋" w:hAnsi="仿宋" w:eastAsia="仿宋" w:cs="微软雅黑"/>
          <w:color w:val="000000"/>
          <w:sz w:val="32"/>
          <w:szCs w:val="32"/>
          <w:shd w:val="clear" w:color="auto" w:fill="FFFFFF"/>
        </w:rPr>
        <w:t xml:space="preserve"> </w:t>
      </w:r>
    </w:p>
    <w:p>
      <w:pPr>
        <w:jc w:val="center"/>
        <w:rPr>
          <w:rFonts w:hint="eastAsia" w:ascii="宋体" w:hAnsi="宋体" w:eastAsia="宋体" w:cs="宋体"/>
          <w:sz w:val="28"/>
          <w:szCs w:val="28"/>
          <w:lang w:val="zh-TW"/>
        </w:rPr>
      </w:pPr>
      <w:r>
        <w:rPr>
          <w:rFonts w:hint="eastAsia" w:ascii="宋体" w:hAnsi="宋体" w:eastAsia="宋体" w:cs="宋体"/>
          <w:sz w:val="28"/>
          <w:szCs w:val="28"/>
          <w:lang w:val="zh-TW" w:eastAsia="zh-TW"/>
        </w:rPr>
        <w:t>表</w:t>
      </w:r>
      <w:r>
        <w:rPr>
          <w:rFonts w:hint="eastAsia" w:ascii="宋体" w:hAnsi="宋体" w:cs="宋体"/>
          <w:sz w:val="28"/>
          <w:szCs w:val="28"/>
          <w:lang w:val="en-US" w:eastAsia="zh-CN"/>
        </w:rPr>
        <w:t>4</w:t>
      </w:r>
      <w:r>
        <w:rPr>
          <w:rFonts w:hint="eastAsia" w:ascii="宋体" w:hAnsi="宋体" w:eastAsia="宋体" w:cs="宋体"/>
          <w:sz w:val="28"/>
          <w:szCs w:val="28"/>
          <w:lang w:val="zh-TW" w:eastAsia="zh-CN"/>
        </w:rPr>
        <w:t>：</w:t>
      </w:r>
      <w:r>
        <w:rPr>
          <w:rFonts w:hint="eastAsia" w:ascii="宋体" w:hAnsi="宋体" w:eastAsia="宋体" w:cs="宋体"/>
          <w:sz w:val="28"/>
          <w:szCs w:val="28"/>
          <w:lang w:val="zh-TW"/>
        </w:rPr>
        <w:t>金融机构</w:t>
      </w:r>
      <w:r>
        <w:rPr>
          <w:rFonts w:hint="eastAsia" w:ascii="宋体" w:hAnsi="宋体" w:eastAsia="宋体" w:cs="宋体"/>
          <w:sz w:val="28"/>
          <w:szCs w:val="28"/>
          <w:lang w:val="zh-TW" w:eastAsia="zh-TW"/>
        </w:rPr>
        <w:t>经营活动对环境产生的影响</w:t>
      </w:r>
    </w:p>
    <w:tbl>
      <w:tblPr>
        <w:tblStyle w:val="11"/>
        <w:tblW w:w="8884" w:type="dxa"/>
        <w:tblInd w:w="-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596"/>
        <w:gridCol w:w="4123"/>
        <w:gridCol w:w="1226"/>
        <w:gridCol w:w="9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7" w:hRule="atLeast"/>
        </w:trPr>
        <w:tc>
          <w:tcPr>
            <w:tcW w:w="2596" w:type="dxa"/>
            <w:tcBorders>
              <w:top w:val="single" w:color="auto" w:sz="4" w:space="0"/>
              <w:left w:val="single" w:color="auto" w:sz="4" w:space="0"/>
              <w:bottom w:val="single" w:color="auto" w:sz="4" w:space="0"/>
              <w:right w:val="single" w:color="auto" w:sz="4" w:space="0"/>
            </w:tcBorders>
            <w:shd w:val="clear" w:color="auto" w:fill="455F51"/>
            <w:vAlign w:val="center"/>
          </w:tcPr>
          <w:p>
            <w:pPr>
              <w:widowControl/>
              <w:spacing w:line="240" w:lineRule="atLeast"/>
              <w:ind w:firstLine="618" w:firstLineChars="220"/>
              <w:jc w:val="center"/>
              <w:rPr>
                <w:rFonts w:hint="eastAsia" w:ascii="宋体" w:hAnsi="宋体" w:eastAsia="宋体" w:cs="宋体"/>
                <w:b/>
                <w:bCs/>
                <w:color w:val="FFFFFF"/>
                <w:kern w:val="0"/>
                <w:sz w:val="28"/>
                <w:szCs w:val="28"/>
              </w:rPr>
            </w:pPr>
            <w:r>
              <w:rPr>
                <w:rFonts w:hint="eastAsia" w:ascii="宋体" w:hAnsi="宋体" w:eastAsia="宋体" w:cs="宋体"/>
                <w:b/>
                <w:bCs/>
                <w:color w:val="FFFFFF"/>
                <w:kern w:val="0"/>
                <w:sz w:val="28"/>
                <w:szCs w:val="28"/>
              </w:rPr>
              <w:t>指标名称</w:t>
            </w:r>
          </w:p>
        </w:tc>
        <w:tc>
          <w:tcPr>
            <w:tcW w:w="4123" w:type="dxa"/>
            <w:tcBorders>
              <w:top w:val="single" w:color="auto" w:sz="4" w:space="0"/>
              <w:left w:val="nil"/>
              <w:bottom w:val="single" w:color="auto" w:sz="4" w:space="0"/>
              <w:right w:val="single" w:color="auto" w:sz="4" w:space="0"/>
            </w:tcBorders>
            <w:shd w:val="clear" w:color="auto" w:fill="455F51"/>
            <w:vAlign w:val="center"/>
          </w:tcPr>
          <w:p>
            <w:pPr>
              <w:widowControl/>
              <w:spacing w:line="240" w:lineRule="atLeast"/>
              <w:ind w:firstLine="1178" w:firstLineChars="419"/>
              <w:jc w:val="center"/>
              <w:rPr>
                <w:rFonts w:hint="eastAsia" w:ascii="宋体" w:hAnsi="宋体" w:eastAsia="宋体" w:cs="宋体"/>
                <w:b/>
                <w:bCs/>
                <w:color w:val="FFFFFF"/>
                <w:kern w:val="0"/>
                <w:sz w:val="28"/>
                <w:szCs w:val="28"/>
              </w:rPr>
            </w:pPr>
            <w:r>
              <w:rPr>
                <w:rFonts w:hint="eastAsia" w:ascii="宋体" w:hAnsi="宋体" w:eastAsia="宋体" w:cs="宋体"/>
                <w:b/>
                <w:bCs/>
                <w:color w:val="FFFFFF"/>
                <w:kern w:val="0"/>
                <w:sz w:val="28"/>
                <w:szCs w:val="28"/>
              </w:rPr>
              <w:t>披露细项</w:t>
            </w:r>
          </w:p>
        </w:tc>
        <w:tc>
          <w:tcPr>
            <w:tcW w:w="1226" w:type="dxa"/>
            <w:tcBorders>
              <w:top w:val="single" w:color="auto" w:sz="4" w:space="0"/>
              <w:left w:val="nil"/>
              <w:bottom w:val="single" w:color="auto" w:sz="4" w:space="0"/>
              <w:right w:val="single" w:color="auto" w:sz="4" w:space="0"/>
            </w:tcBorders>
            <w:shd w:val="clear" w:color="auto" w:fill="455F51"/>
            <w:vAlign w:val="center"/>
          </w:tcPr>
          <w:p>
            <w:pPr>
              <w:widowControl/>
              <w:spacing w:line="240" w:lineRule="atLeast"/>
              <w:jc w:val="center"/>
              <w:rPr>
                <w:rFonts w:hint="eastAsia" w:ascii="宋体" w:hAnsi="宋体" w:eastAsia="宋体" w:cs="宋体"/>
                <w:b/>
                <w:bCs/>
                <w:color w:val="FFFFFF"/>
                <w:kern w:val="0"/>
                <w:sz w:val="28"/>
                <w:szCs w:val="28"/>
              </w:rPr>
            </w:pPr>
            <w:r>
              <w:rPr>
                <w:rFonts w:hint="eastAsia" w:ascii="宋体" w:hAnsi="宋体" w:eastAsia="宋体" w:cs="宋体"/>
                <w:b/>
                <w:bCs/>
                <w:color w:val="FFFFFF"/>
                <w:kern w:val="0"/>
                <w:sz w:val="28"/>
                <w:szCs w:val="28"/>
              </w:rPr>
              <w:t>总量</w:t>
            </w:r>
          </w:p>
        </w:tc>
        <w:tc>
          <w:tcPr>
            <w:tcW w:w="939" w:type="dxa"/>
            <w:tcBorders>
              <w:top w:val="single" w:color="auto" w:sz="4" w:space="0"/>
              <w:left w:val="nil"/>
              <w:bottom w:val="single" w:color="auto" w:sz="4" w:space="0"/>
              <w:right w:val="single" w:color="auto" w:sz="4" w:space="0"/>
            </w:tcBorders>
            <w:shd w:val="clear" w:color="auto" w:fill="455F51"/>
            <w:vAlign w:val="center"/>
          </w:tcPr>
          <w:p>
            <w:pPr>
              <w:widowControl/>
              <w:spacing w:line="240" w:lineRule="atLeast"/>
              <w:jc w:val="center"/>
              <w:rPr>
                <w:rFonts w:hint="eastAsia" w:ascii="宋体" w:hAnsi="宋体" w:eastAsia="宋体" w:cs="宋体"/>
                <w:b/>
                <w:bCs/>
                <w:color w:val="FFFFFF"/>
                <w:kern w:val="0"/>
                <w:sz w:val="28"/>
                <w:szCs w:val="28"/>
              </w:rPr>
            </w:pPr>
            <w:r>
              <w:rPr>
                <w:rFonts w:hint="eastAsia" w:ascii="宋体" w:hAnsi="宋体" w:eastAsia="宋体" w:cs="宋体"/>
                <w:b/>
                <w:bCs/>
                <w:color w:val="FFFFFF"/>
                <w:kern w:val="0"/>
                <w:sz w:val="28"/>
                <w:szCs w:val="28"/>
              </w:rPr>
              <w:t>人均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0" w:hRule="atLeast"/>
        </w:trPr>
        <w:tc>
          <w:tcPr>
            <w:tcW w:w="2596" w:type="dxa"/>
            <w:vMerge w:val="restart"/>
            <w:tcBorders>
              <w:top w:val="nil"/>
              <w:left w:val="single" w:color="auto" w:sz="4" w:space="0"/>
              <w:bottom w:val="single" w:color="auto" w:sz="4" w:space="0"/>
              <w:right w:val="single" w:color="auto" w:sz="4" w:space="0"/>
            </w:tcBorders>
            <w:shd w:val="clear" w:color="auto" w:fill="AEC4B8"/>
            <w:vAlign w:val="center"/>
          </w:tcPr>
          <w:p>
            <w:pPr>
              <w:widowControl/>
              <w:wordWrap/>
              <w:adjustRightInd/>
              <w:snapToGrid/>
              <w:spacing w:line="0" w:lineRule="atLeast"/>
              <w:ind w:left="0" w:leftChars="0" w:right="0"/>
              <w:jc w:val="center"/>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lang w:eastAsia="zh-TW"/>
              </w:rPr>
              <w:t>经营活动直接产生的温室气体排放和自然资源消耗</w:t>
            </w:r>
          </w:p>
        </w:tc>
        <w:tc>
          <w:tcPr>
            <w:tcW w:w="4123" w:type="dxa"/>
            <w:tcBorders>
              <w:top w:val="nil"/>
              <w:left w:val="nil"/>
              <w:bottom w:val="single" w:color="auto" w:sz="4" w:space="0"/>
              <w:right w:val="single" w:color="auto" w:sz="4" w:space="0"/>
            </w:tcBorders>
            <w:shd w:val="clear" w:color="auto" w:fill="D6E1DB"/>
            <w:vAlign w:val="center"/>
          </w:tcPr>
          <w:p>
            <w:pPr>
              <w:widowControl/>
              <w:wordWrap/>
              <w:adjustRightInd/>
              <w:snapToGrid/>
              <w:spacing w:line="0" w:lineRule="atLeast"/>
              <w:ind w:left="0" w:leftChars="0" w:right="0" w:firstLine="0" w:firstLineChars="0"/>
              <w:jc w:val="center"/>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机构自有交通运输工具所消耗的燃油（升）</w:t>
            </w:r>
          </w:p>
        </w:tc>
        <w:tc>
          <w:tcPr>
            <w:tcW w:w="1226" w:type="dxa"/>
            <w:tcBorders>
              <w:top w:val="nil"/>
              <w:left w:val="nil"/>
              <w:bottom w:val="single" w:color="auto" w:sz="4" w:space="0"/>
              <w:right w:val="single" w:color="auto" w:sz="4" w:space="0"/>
            </w:tcBorders>
            <w:shd w:val="clear" w:color="auto" w:fill="D6E1DB"/>
            <w:vAlign w:val="center"/>
          </w:tcPr>
          <w:p>
            <w:pPr>
              <w:widowControl/>
              <w:spacing w:line="240" w:lineRule="atLeast"/>
              <w:jc w:val="center"/>
              <w:rPr>
                <w:rFonts w:hint="eastAsia" w:ascii="宋体" w:hAnsi="宋体" w:eastAsia="宋体" w:cs="宋体"/>
                <w:kern w:val="0"/>
                <w:sz w:val="28"/>
                <w:szCs w:val="28"/>
              </w:rPr>
            </w:pPr>
            <w:r>
              <w:rPr>
                <w:rFonts w:hint="eastAsia" w:ascii="宋体" w:hAnsi="宋体" w:eastAsia="宋体" w:cs="宋体"/>
                <w:kern w:val="0"/>
                <w:sz w:val="28"/>
                <w:szCs w:val="28"/>
              </w:rPr>
              <w:t>295000</w:t>
            </w:r>
          </w:p>
        </w:tc>
        <w:tc>
          <w:tcPr>
            <w:tcW w:w="939" w:type="dxa"/>
            <w:tcBorders>
              <w:top w:val="nil"/>
              <w:left w:val="nil"/>
              <w:bottom w:val="single" w:color="auto" w:sz="4" w:space="0"/>
              <w:right w:val="single" w:color="auto" w:sz="4" w:space="0"/>
            </w:tcBorders>
            <w:shd w:val="clear" w:color="auto" w:fill="D6E1DB"/>
            <w:vAlign w:val="center"/>
          </w:tcPr>
          <w:p>
            <w:pPr>
              <w:widowControl/>
              <w:spacing w:line="240" w:lineRule="atLeast"/>
              <w:jc w:val="center"/>
              <w:rPr>
                <w:rFonts w:hint="eastAsia" w:ascii="宋体" w:hAnsi="宋体" w:eastAsia="宋体" w:cs="宋体"/>
                <w:kern w:val="0"/>
                <w:sz w:val="28"/>
                <w:szCs w:val="28"/>
              </w:rPr>
            </w:pPr>
            <w:r>
              <w:rPr>
                <w:rFonts w:hint="eastAsia" w:ascii="宋体" w:hAnsi="宋体" w:eastAsia="宋体" w:cs="宋体"/>
                <w:color w:val="000000"/>
                <w:kern w:val="0"/>
                <w:sz w:val="28"/>
                <w:szCs w:val="28"/>
              </w:rPr>
              <w:t>201.2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3" w:hRule="atLeast"/>
        </w:trPr>
        <w:tc>
          <w:tcPr>
            <w:tcW w:w="2596" w:type="dxa"/>
            <w:vMerge w:val="continue"/>
            <w:tcBorders>
              <w:top w:val="nil"/>
              <w:left w:val="single" w:color="auto" w:sz="4" w:space="0"/>
              <w:bottom w:val="single" w:color="auto" w:sz="4" w:space="0"/>
              <w:right w:val="single" w:color="auto" w:sz="4" w:space="0"/>
            </w:tcBorders>
            <w:shd w:val="clear" w:color="auto" w:fill="AEC4B8"/>
            <w:vAlign w:val="center"/>
          </w:tcPr>
          <w:p>
            <w:pPr>
              <w:widowControl/>
              <w:wordWrap/>
              <w:adjustRightInd/>
              <w:snapToGrid/>
              <w:spacing w:line="0" w:lineRule="atLeast"/>
              <w:ind w:left="0" w:leftChars="0" w:right="0" w:firstLine="616" w:firstLineChars="220"/>
              <w:jc w:val="center"/>
              <w:textAlignment w:val="auto"/>
              <w:outlineLvl w:val="9"/>
              <w:rPr>
                <w:rFonts w:hint="eastAsia" w:ascii="宋体" w:hAnsi="宋体" w:cs="宋体"/>
                <w:color w:val="000000"/>
                <w:kern w:val="0"/>
                <w:sz w:val="28"/>
                <w:szCs w:val="28"/>
              </w:rPr>
            </w:pPr>
          </w:p>
        </w:tc>
        <w:tc>
          <w:tcPr>
            <w:tcW w:w="4123" w:type="dxa"/>
            <w:tcBorders>
              <w:top w:val="nil"/>
              <w:left w:val="nil"/>
              <w:bottom w:val="single" w:color="auto" w:sz="4" w:space="0"/>
              <w:right w:val="single" w:color="auto" w:sz="4" w:space="0"/>
            </w:tcBorders>
            <w:shd w:val="clear" w:color="auto" w:fill="D6E1DB"/>
            <w:vAlign w:val="center"/>
          </w:tcPr>
          <w:p>
            <w:pPr>
              <w:widowControl/>
              <w:wordWrap/>
              <w:adjustRightInd/>
              <w:snapToGrid/>
              <w:spacing w:line="0" w:lineRule="atLeast"/>
              <w:ind w:left="0" w:leftChars="0" w:right="0" w:firstLine="0" w:firstLineChars="0"/>
              <w:jc w:val="center"/>
              <w:textAlignment w:val="auto"/>
              <w:outlineLvl w:val="9"/>
              <w:rPr>
                <w:rFonts w:hint="eastAsia" w:ascii="宋体" w:hAnsi="宋体" w:cs="宋体"/>
                <w:color w:val="000000"/>
                <w:kern w:val="0"/>
                <w:sz w:val="28"/>
                <w:szCs w:val="28"/>
              </w:rPr>
            </w:pPr>
            <w:r>
              <w:rPr>
                <w:rFonts w:hint="eastAsia" w:ascii="宋体" w:hAnsi="宋体" w:cs="宋体"/>
                <w:color w:val="000000"/>
                <w:kern w:val="0"/>
                <w:sz w:val="28"/>
                <w:szCs w:val="28"/>
                <w:lang w:eastAsia="zh-TW"/>
              </w:rPr>
              <w:t>自有采暖</w:t>
            </w:r>
            <w:r>
              <w:rPr>
                <w:rFonts w:hint="eastAsia" w:ascii="宋体" w:hAnsi="宋体" w:cs="宋体"/>
                <w:color w:val="000000"/>
                <w:kern w:val="0"/>
                <w:sz w:val="28"/>
                <w:szCs w:val="28"/>
              </w:rPr>
              <w:t>（</w:t>
            </w:r>
            <w:r>
              <w:rPr>
                <w:rFonts w:hint="eastAsia" w:ascii="宋体" w:hAnsi="宋体" w:cs="宋体"/>
                <w:color w:val="000000"/>
                <w:kern w:val="0"/>
                <w:sz w:val="28"/>
                <w:szCs w:val="28"/>
                <w:lang w:eastAsia="zh-TW"/>
              </w:rPr>
              <w:t>制冷</w:t>
            </w:r>
            <w:r>
              <w:rPr>
                <w:rFonts w:hint="eastAsia" w:ascii="宋体" w:hAnsi="宋体" w:cs="宋体"/>
                <w:color w:val="000000"/>
                <w:kern w:val="0"/>
                <w:sz w:val="28"/>
                <w:szCs w:val="28"/>
              </w:rPr>
              <w:t>）</w:t>
            </w:r>
            <w:r>
              <w:rPr>
                <w:rFonts w:hint="eastAsia" w:ascii="宋体" w:hAnsi="宋体" w:cs="宋体"/>
                <w:color w:val="000000"/>
                <w:kern w:val="0"/>
                <w:sz w:val="28"/>
                <w:szCs w:val="28"/>
                <w:lang w:eastAsia="zh-TW"/>
              </w:rPr>
              <w:t>设备所消耗的燃料（升）</w:t>
            </w:r>
          </w:p>
        </w:tc>
        <w:tc>
          <w:tcPr>
            <w:tcW w:w="1226" w:type="dxa"/>
            <w:tcBorders>
              <w:top w:val="nil"/>
              <w:left w:val="nil"/>
              <w:bottom w:val="single" w:color="auto" w:sz="4" w:space="0"/>
              <w:right w:val="single" w:color="auto" w:sz="4" w:space="0"/>
            </w:tcBorders>
            <w:shd w:val="clear" w:color="auto" w:fill="D6E1DB"/>
            <w:vAlign w:val="center"/>
          </w:tcPr>
          <w:p>
            <w:pPr>
              <w:widowControl/>
              <w:spacing w:line="240" w:lineRule="atLeast"/>
              <w:jc w:val="both"/>
              <w:rPr>
                <w:rFonts w:hint="eastAsia" w:ascii="宋体" w:hAnsi="宋体" w:eastAsia="宋体" w:cs="宋体"/>
                <w:kern w:val="0"/>
                <w:sz w:val="28"/>
                <w:szCs w:val="28"/>
              </w:rPr>
            </w:pPr>
            <w:r>
              <w:rPr>
                <w:rFonts w:hint="eastAsia" w:ascii="宋体" w:hAnsi="宋体" w:cs="宋体"/>
                <w:color w:val="000000"/>
                <w:kern w:val="0"/>
                <w:sz w:val="28"/>
                <w:szCs w:val="28"/>
                <w:lang w:val="en-US" w:eastAsia="zh-CN"/>
              </w:rPr>
              <w:t xml:space="preserve">    </w:t>
            </w:r>
            <w:r>
              <w:rPr>
                <w:rFonts w:hint="eastAsia" w:ascii="宋体" w:hAnsi="宋体" w:eastAsia="宋体" w:cs="宋体"/>
                <w:color w:val="000000"/>
                <w:kern w:val="0"/>
                <w:sz w:val="28"/>
                <w:szCs w:val="28"/>
              </w:rPr>
              <w:t>无</w:t>
            </w:r>
          </w:p>
        </w:tc>
        <w:tc>
          <w:tcPr>
            <w:tcW w:w="939" w:type="dxa"/>
            <w:tcBorders>
              <w:top w:val="nil"/>
              <w:left w:val="nil"/>
              <w:bottom w:val="single" w:color="auto" w:sz="4" w:space="0"/>
              <w:right w:val="single" w:color="auto" w:sz="4" w:space="0"/>
            </w:tcBorders>
            <w:shd w:val="clear" w:color="auto" w:fill="D6E1DB"/>
            <w:vAlign w:val="center"/>
          </w:tcPr>
          <w:p>
            <w:pPr>
              <w:widowControl/>
              <w:spacing w:line="240" w:lineRule="atLeast"/>
              <w:jc w:val="both"/>
              <w:rPr>
                <w:rFonts w:hint="eastAsia" w:ascii="宋体" w:hAnsi="宋体" w:eastAsia="宋体" w:cs="宋体"/>
                <w:kern w:val="0"/>
                <w:sz w:val="28"/>
                <w:szCs w:val="28"/>
              </w:rPr>
            </w:pP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atLeast"/>
        </w:trPr>
        <w:tc>
          <w:tcPr>
            <w:tcW w:w="2596" w:type="dxa"/>
            <w:vMerge w:val="continue"/>
            <w:tcBorders>
              <w:top w:val="nil"/>
              <w:left w:val="single" w:color="auto" w:sz="4" w:space="0"/>
              <w:bottom w:val="single" w:color="auto" w:sz="4" w:space="0"/>
              <w:right w:val="single" w:color="auto" w:sz="4" w:space="0"/>
            </w:tcBorders>
            <w:shd w:val="clear" w:color="auto" w:fill="AEC4B8"/>
            <w:vAlign w:val="center"/>
          </w:tcPr>
          <w:p>
            <w:pPr>
              <w:widowControl/>
              <w:wordWrap/>
              <w:adjustRightInd/>
              <w:snapToGrid/>
              <w:spacing w:line="0" w:lineRule="atLeast"/>
              <w:ind w:left="0" w:leftChars="0" w:right="0" w:firstLine="616" w:firstLineChars="220"/>
              <w:jc w:val="center"/>
              <w:textAlignment w:val="auto"/>
              <w:outlineLvl w:val="9"/>
              <w:rPr>
                <w:rFonts w:hint="eastAsia" w:ascii="宋体" w:hAnsi="宋体" w:cs="宋体"/>
                <w:color w:val="000000"/>
                <w:kern w:val="0"/>
                <w:sz w:val="28"/>
                <w:szCs w:val="28"/>
              </w:rPr>
            </w:pPr>
          </w:p>
        </w:tc>
        <w:tc>
          <w:tcPr>
            <w:tcW w:w="4123" w:type="dxa"/>
            <w:tcBorders>
              <w:top w:val="nil"/>
              <w:left w:val="nil"/>
              <w:bottom w:val="single" w:color="auto" w:sz="4" w:space="0"/>
              <w:right w:val="single" w:color="auto" w:sz="4" w:space="0"/>
            </w:tcBorders>
            <w:shd w:val="clear" w:color="auto" w:fill="D6E1DB"/>
            <w:vAlign w:val="center"/>
          </w:tcPr>
          <w:p>
            <w:pPr>
              <w:widowControl/>
              <w:wordWrap/>
              <w:adjustRightInd/>
              <w:snapToGrid/>
              <w:spacing w:line="0" w:lineRule="atLeast"/>
              <w:ind w:left="0" w:leftChars="0" w:right="0" w:firstLine="0" w:firstLineChars="0"/>
              <w:jc w:val="center"/>
              <w:textAlignment w:val="auto"/>
              <w:outlineLvl w:val="9"/>
              <w:rPr>
                <w:rFonts w:hint="eastAsia" w:ascii="宋体" w:hAnsi="宋体" w:cs="宋体"/>
                <w:color w:val="000000"/>
                <w:kern w:val="0"/>
                <w:sz w:val="28"/>
                <w:szCs w:val="28"/>
              </w:rPr>
            </w:pPr>
            <w:r>
              <w:rPr>
                <w:rFonts w:hint="eastAsia" w:ascii="宋体" w:hAnsi="宋体" w:cs="宋体"/>
                <w:color w:val="000000"/>
                <w:kern w:val="0"/>
                <w:sz w:val="28"/>
                <w:szCs w:val="28"/>
                <w:lang w:eastAsia="zh-TW"/>
              </w:rPr>
              <w:t>营业、办公活动所消耗的水（吨）</w:t>
            </w:r>
          </w:p>
        </w:tc>
        <w:tc>
          <w:tcPr>
            <w:tcW w:w="1226" w:type="dxa"/>
            <w:tcBorders>
              <w:top w:val="nil"/>
              <w:left w:val="nil"/>
              <w:bottom w:val="single" w:color="auto" w:sz="4" w:space="0"/>
              <w:right w:val="single" w:color="auto" w:sz="4" w:space="0"/>
            </w:tcBorders>
            <w:shd w:val="clear" w:color="auto" w:fill="D6E1DB"/>
            <w:vAlign w:val="center"/>
          </w:tcPr>
          <w:p>
            <w:pPr>
              <w:widowControl/>
              <w:spacing w:line="240" w:lineRule="atLeast"/>
              <w:jc w:val="center"/>
              <w:rPr>
                <w:rFonts w:hint="eastAsia" w:ascii="宋体" w:hAnsi="宋体" w:eastAsia="宋体" w:cs="宋体"/>
                <w:kern w:val="0"/>
                <w:sz w:val="28"/>
                <w:szCs w:val="28"/>
              </w:rPr>
            </w:pPr>
            <w:r>
              <w:rPr>
                <w:rFonts w:hint="eastAsia" w:ascii="宋体" w:hAnsi="宋体" w:eastAsia="宋体" w:cs="宋体"/>
                <w:color w:val="000000"/>
                <w:kern w:val="0"/>
                <w:sz w:val="28"/>
                <w:szCs w:val="28"/>
              </w:rPr>
              <w:t>39000</w:t>
            </w:r>
          </w:p>
        </w:tc>
        <w:tc>
          <w:tcPr>
            <w:tcW w:w="939" w:type="dxa"/>
            <w:tcBorders>
              <w:top w:val="nil"/>
              <w:left w:val="nil"/>
              <w:bottom w:val="single" w:color="auto" w:sz="4" w:space="0"/>
              <w:right w:val="single" w:color="auto" w:sz="4" w:space="0"/>
            </w:tcBorders>
            <w:shd w:val="clear" w:color="auto" w:fill="D6E1DB"/>
            <w:vAlign w:val="center"/>
          </w:tcPr>
          <w:p>
            <w:pPr>
              <w:widowControl/>
              <w:spacing w:line="240" w:lineRule="atLeast"/>
              <w:jc w:val="center"/>
              <w:rPr>
                <w:rFonts w:hint="eastAsia" w:ascii="宋体" w:hAnsi="宋体" w:eastAsia="宋体" w:cs="宋体"/>
                <w:kern w:val="0"/>
                <w:sz w:val="28"/>
                <w:szCs w:val="28"/>
              </w:rPr>
            </w:pPr>
            <w:r>
              <w:rPr>
                <w:rFonts w:hint="eastAsia" w:ascii="宋体" w:hAnsi="宋体" w:eastAsia="宋体" w:cs="宋体"/>
                <w:kern w:val="0"/>
                <w:sz w:val="28"/>
                <w:szCs w:val="28"/>
              </w:rPr>
              <w:t>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7" w:hRule="atLeast"/>
        </w:trPr>
        <w:tc>
          <w:tcPr>
            <w:tcW w:w="2596" w:type="dxa"/>
            <w:vMerge w:val="restart"/>
            <w:tcBorders>
              <w:top w:val="nil"/>
              <w:left w:val="single" w:color="auto" w:sz="4" w:space="0"/>
              <w:bottom w:val="single" w:color="auto" w:sz="4" w:space="0"/>
              <w:right w:val="single" w:color="auto" w:sz="4" w:space="0"/>
            </w:tcBorders>
            <w:shd w:val="clear" w:color="auto" w:fill="AEC4B8"/>
            <w:vAlign w:val="center"/>
          </w:tcPr>
          <w:p>
            <w:pPr>
              <w:widowControl/>
              <w:wordWrap/>
              <w:adjustRightInd/>
              <w:snapToGrid/>
              <w:spacing w:line="0" w:lineRule="atLeast"/>
              <w:ind w:left="0" w:leftChars="0" w:right="0"/>
              <w:jc w:val="center"/>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lang w:eastAsia="zh-TW"/>
              </w:rPr>
              <w:t>采购的产品或服务所产生的间接温室气体排放和间接自然资源消耗</w:t>
            </w:r>
          </w:p>
        </w:tc>
        <w:tc>
          <w:tcPr>
            <w:tcW w:w="4123" w:type="dxa"/>
            <w:tcBorders>
              <w:top w:val="nil"/>
              <w:left w:val="nil"/>
              <w:bottom w:val="single" w:color="auto" w:sz="4" w:space="0"/>
              <w:right w:val="single" w:color="auto" w:sz="4" w:space="0"/>
            </w:tcBorders>
            <w:shd w:val="clear" w:color="auto" w:fill="D6E1DB"/>
            <w:vAlign w:val="center"/>
          </w:tcPr>
          <w:p>
            <w:pPr>
              <w:widowControl/>
              <w:wordWrap/>
              <w:adjustRightInd/>
              <w:snapToGrid/>
              <w:spacing w:line="0" w:lineRule="atLeast"/>
              <w:ind w:left="0" w:leftChars="0" w:right="0" w:firstLine="0" w:firstLineChars="0"/>
              <w:jc w:val="center"/>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lang w:eastAsia="zh-TW"/>
              </w:rPr>
              <w:t>营业、办公所消耗的电力（千瓦时）</w:t>
            </w:r>
          </w:p>
        </w:tc>
        <w:tc>
          <w:tcPr>
            <w:tcW w:w="1226" w:type="dxa"/>
            <w:tcBorders>
              <w:top w:val="nil"/>
              <w:left w:val="nil"/>
              <w:bottom w:val="single" w:color="auto" w:sz="4" w:space="0"/>
              <w:right w:val="single" w:color="auto" w:sz="4" w:space="0"/>
            </w:tcBorders>
            <w:shd w:val="clear" w:color="auto" w:fill="D6E1DB"/>
            <w:vAlign w:val="center"/>
          </w:tcPr>
          <w:p>
            <w:pPr>
              <w:widowControl/>
              <w:spacing w:line="240" w:lineRule="atLeast"/>
              <w:jc w:val="center"/>
              <w:rPr>
                <w:rFonts w:hint="eastAsia" w:ascii="宋体" w:hAnsi="宋体" w:eastAsia="宋体" w:cs="宋体"/>
                <w:kern w:val="0"/>
                <w:sz w:val="28"/>
                <w:szCs w:val="28"/>
              </w:rPr>
            </w:pPr>
            <w:r>
              <w:rPr>
                <w:rFonts w:hint="eastAsia" w:ascii="宋体" w:hAnsi="宋体" w:eastAsia="宋体" w:cs="宋体"/>
                <w:color w:val="000000"/>
                <w:kern w:val="0"/>
                <w:sz w:val="28"/>
                <w:szCs w:val="28"/>
              </w:rPr>
              <w:t>7836000</w:t>
            </w:r>
          </w:p>
        </w:tc>
        <w:tc>
          <w:tcPr>
            <w:tcW w:w="939" w:type="dxa"/>
            <w:tcBorders>
              <w:top w:val="nil"/>
              <w:left w:val="nil"/>
              <w:bottom w:val="single" w:color="auto" w:sz="4" w:space="0"/>
              <w:right w:val="single" w:color="auto" w:sz="4" w:space="0"/>
            </w:tcBorders>
            <w:shd w:val="clear" w:color="auto" w:fill="D6E1DB"/>
            <w:vAlign w:val="center"/>
          </w:tcPr>
          <w:p>
            <w:pPr>
              <w:widowControl/>
              <w:spacing w:line="240" w:lineRule="atLeast"/>
              <w:jc w:val="center"/>
              <w:rPr>
                <w:rFonts w:hint="eastAsia" w:ascii="宋体" w:hAnsi="宋体" w:eastAsia="宋体" w:cs="宋体"/>
                <w:kern w:val="0"/>
                <w:sz w:val="28"/>
                <w:szCs w:val="28"/>
              </w:rPr>
            </w:pPr>
            <w:r>
              <w:rPr>
                <w:rFonts w:hint="eastAsia" w:ascii="宋体" w:hAnsi="宋体" w:eastAsia="宋体" w:cs="宋体"/>
                <w:color w:val="000000"/>
                <w:kern w:val="0"/>
                <w:sz w:val="28"/>
                <w:szCs w:val="28"/>
              </w:rPr>
              <w:t>5345.2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7" w:hRule="atLeast"/>
        </w:trPr>
        <w:tc>
          <w:tcPr>
            <w:tcW w:w="2596" w:type="dxa"/>
            <w:vMerge w:val="continue"/>
            <w:tcBorders>
              <w:top w:val="nil"/>
              <w:left w:val="single" w:color="auto" w:sz="4" w:space="0"/>
              <w:bottom w:val="single" w:color="auto" w:sz="4" w:space="0"/>
              <w:right w:val="single" w:color="auto" w:sz="4" w:space="0"/>
            </w:tcBorders>
            <w:shd w:val="clear" w:color="auto" w:fill="AEC4B8"/>
            <w:vAlign w:val="center"/>
          </w:tcPr>
          <w:p>
            <w:pPr>
              <w:widowControl/>
              <w:wordWrap/>
              <w:adjustRightInd/>
              <w:snapToGrid/>
              <w:spacing w:line="0" w:lineRule="atLeast"/>
              <w:ind w:left="0" w:leftChars="0" w:right="0" w:firstLine="616" w:firstLineChars="220"/>
              <w:jc w:val="center"/>
              <w:textAlignment w:val="auto"/>
              <w:outlineLvl w:val="9"/>
              <w:rPr>
                <w:rFonts w:hint="eastAsia" w:ascii="宋体" w:hAnsi="宋体" w:cs="宋体"/>
                <w:color w:val="000000"/>
                <w:kern w:val="0"/>
                <w:sz w:val="28"/>
                <w:szCs w:val="28"/>
              </w:rPr>
            </w:pPr>
          </w:p>
        </w:tc>
        <w:tc>
          <w:tcPr>
            <w:tcW w:w="4123" w:type="dxa"/>
            <w:tcBorders>
              <w:top w:val="nil"/>
              <w:left w:val="nil"/>
              <w:bottom w:val="single" w:color="auto" w:sz="4" w:space="0"/>
              <w:right w:val="single" w:color="auto" w:sz="4" w:space="0"/>
            </w:tcBorders>
            <w:shd w:val="clear" w:color="auto" w:fill="D6E1DB"/>
            <w:vAlign w:val="center"/>
          </w:tcPr>
          <w:p>
            <w:pPr>
              <w:widowControl/>
              <w:wordWrap/>
              <w:adjustRightInd/>
              <w:snapToGrid/>
              <w:spacing w:line="0" w:lineRule="atLeast"/>
              <w:ind w:left="0" w:leftChars="0" w:right="0" w:firstLine="0" w:firstLineChars="0"/>
              <w:jc w:val="center"/>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eastAsia="zh-TW"/>
              </w:rPr>
              <w:t>营业、办公所使用的纸张（吨）</w:t>
            </w:r>
          </w:p>
        </w:tc>
        <w:tc>
          <w:tcPr>
            <w:tcW w:w="1226" w:type="dxa"/>
            <w:tcBorders>
              <w:top w:val="nil"/>
              <w:left w:val="nil"/>
              <w:bottom w:val="single" w:color="auto" w:sz="4" w:space="0"/>
              <w:right w:val="single" w:color="auto" w:sz="4" w:space="0"/>
            </w:tcBorders>
            <w:shd w:val="clear" w:color="auto" w:fill="D6E1DB"/>
            <w:vAlign w:val="center"/>
          </w:tcPr>
          <w:p>
            <w:pPr>
              <w:widowControl/>
              <w:spacing w:line="240" w:lineRule="atLeast"/>
              <w:jc w:val="center"/>
              <w:rPr>
                <w:rFonts w:hint="eastAsia" w:ascii="宋体" w:hAnsi="宋体" w:eastAsia="宋体" w:cs="宋体"/>
                <w:color w:val="000000"/>
                <w:kern w:val="0"/>
                <w:sz w:val="28"/>
                <w:szCs w:val="28"/>
              </w:rPr>
            </w:pPr>
            <w:r>
              <w:rPr>
                <w:rFonts w:hint="eastAsia" w:ascii="宋体" w:hAnsi="宋体" w:eastAsia="宋体" w:cs="宋体"/>
                <w:color w:val="000000"/>
                <w:sz w:val="28"/>
                <w:szCs w:val="28"/>
              </w:rPr>
              <w:t>70.6</w:t>
            </w:r>
          </w:p>
        </w:tc>
        <w:tc>
          <w:tcPr>
            <w:tcW w:w="939" w:type="dxa"/>
            <w:tcBorders>
              <w:top w:val="nil"/>
              <w:left w:val="nil"/>
              <w:bottom w:val="single" w:color="auto" w:sz="4" w:space="0"/>
              <w:right w:val="single" w:color="auto" w:sz="4" w:space="0"/>
            </w:tcBorders>
            <w:shd w:val="clear" w:color="auto" w:fill="D6E1DB"/>
            <w:vAlign w:val="center"/>
          </w:tcPr>
          <w:p>
            <w:pPr>
              <w:widowControl/>
              <w:spacing w:line="240" w:lineRule="atLeas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0.048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6" w:hRule="atLeast"/>
        </w:trPr>
        <w:tc>
          <w:tcPr>
            <w:tcW w:w="2596" w:type="dxa"/>
            <w:vMerge w:val="continue"/>
            <w:tcBorders>
              <w:top w:val="nil"/>
              <w:left w:val="single" w:color="auto" w:sz="4" w:space="0"/>
              <w:bottom w:val="single" w:color="auto" w:sz="4" w:space="0"/>
              <w:right w:val="single" w:color="auto" w:sz="4" w:space="0"/>
            </w:tcBorders>
            <w:shd w:val="clear" w:color="auto" w:fill="AEC4B8"/>
            <w:vAlign w:val="center"/>
          </w:tcPr>
          <w:p>
            <w:pPr>
              <w:widowControl/>
              <w:wordWrap/>
              <w:adjustRightInd/>
              <w:snapToGrid/>
              <w:spacing w:line="0" w:lineRule="atLeast"/>
              <w:ind w:left="0" w:leftChars="0" w:right="0" w:firstLine="616" w:firstLineChars="220"/>
              <w:jc w:val="center"/>
              <w:textAlignment w:val="auto"/>
              <w:outlineLvl w:val="9"/>
              <w:rPr>
                <w:rFonts w:hint="eastAsia" w:ascii="宋体" w:hAnsi="宋体" w:cs="宋体"/>
                <w:color w:val="000000"/>
                <w:kern w:val="0"/>
                <w:sz w:val="28"/>
                <w:szCs w:val="28"/>
              </w:rPr>
            </w:pPr>
          </w:p>
        </w:tc>
        <w:tc>
          <w:tcPr>
            <w:tcW w:w="4123" w:type="dxa"/>
            <w:tcBorders>
              <w:top w:val="nil"/>
              <w:left w:val="nil"/>
              <w:bottom w:val="single" w:color="auto" w:sz="4" w:space="0"/>
              <w:right w:val="single" w:color="auto" w:sz="4" w:space="0"/>
            </w:tcBorders>
            <w:shd w:val="clear" w:color="auto" w:fill="D6E1DB"/>
            <w:vAlign w:val="center"/>
          </w:tcPr>
          <w:p>
            <w:pPr>
              <w:widowControl/>
              <w:wordWrap/>
              <w:adjustRightInd/>
              <w:snapToGrid/>
              <w:spacing w:line="0" w:lineRule="atLeast"/>
              <w:ind w:left="0" w:leftChars="0" w:right="0" w:firstLine="0" w:firstLineChars="0"/>
              <w:jc w:val="center"/>
              <w:textAlignment w:val="auto"/>
              <w:outlineLvl w:val="9"/>
              <w:rPr>
                <w:rFonts w:hint="eastAsia" w:ascii="宋体" w:hAnsi="宋体" w:cs="宋体"/>
                <w:color w:val="000000"/>
                <w:kern w:val="0"/>
                <w:sz w:val="28"/>
                <w:szCs w:val="28"/>
              </w:rPr>
            </w:pPr>
            <w:r>
              <w:rPr>
                <w:rFonts w:hint="eastAsia" w:ascii="宋体" w:hAnsi="宋体" w:cs="宋体"/>
                <w:color w:val="000000"/>
                <w:kern w:val="0"/>
                <w:sz w:val="28"/>
                <w:szCs w:val="28"/>
                <w:lang w:eastAsia="zh-TW"/>
              </w:rPr>
              <w:t>购买的采暖</w:t>
            </w:r>
            <w:r>
              <w:rPr>
                <w:rFonts w:hint="eastAsia" w:ascii="宋体" w:hAnsi="宋体" w:cs="宋体"/>
                <w:color w:val="000000"/>
                <w:kern w:val="0"/>
                <w:sz w:val="28"/>
                <w:szCs w:val="28"/>
              </w:rPr>
              <w:t>（</w:t>
            </w:r>
            <w:r>
              <w:rPr>
                <w:rFonts w:hint="eastAsia" w:ascii="宋体" w:hAnsi="宋体" w:cs="宋体"/>
                <w:color w:val="000000"/>
                <w:kern w:val="0"/>
                <w:sz w:val="28"/>
                <w:szCs w:val="28"/>
                <w:lang w:eastAsia="zh-TW"/>
              </w:rPr>
              <w:t>制冷</w:t>
            </w:r>
            <w:r>
              <w:rPr>
                <w:rFonts w:hint="eastAsia" w:ascii="宋体" w:hAnsi="宋体" w:cs="宋体"/>
                <w:color w:val="000000"/>
                <w:kern w:val="0"/>
                <w:sz w:val="28"/>
                <w:szCs w:val="28"/>
              </w:rPr>
              <w:t>）</w:t>
            </w:r>
            <w:r>
              <w:rPr>
                <w:rFonts w:hint="eastAsia" w:ascii="宋体" w:hAnsi="宋体" w:cs="宋体"/>
                <w:color w:val="000000"/>
                <w:kern w:val="0"/>
                <w:sz w:val="28"/>
                <w:szCs w:val="28"/>
                <w:lang w:eastAsia="zh-TW"/>
              </w:rPr>
              <w:t>服务所消耗的燃料（升）</w:t>
            </w:r>
          </w:p>
        </w:tc>
        <w:tc>
          <w:tcPr>
            <w:tcW w:w="1226" w:type="dxa"/>
            <w:tcBorders>
              <w:top w:val="nil"/>
              <w:left w:val="nil"/>
              <w:bottom w:val="single" w:color="auto" w:sz="4" w:space="0"/>
              <w:right w:val="single" w:color="auto" w:sz="4" w:space="0"/>
            </w:tcBorders>
            <w:shd w:val="clear" w:color="auto" w:fill="D6E1DB"/>
            <w:vAlign w:val="center"/>
          </w:tcPr>
          <w:p>
            <w:pPr>
              <w:widowControl/>
              <w:spacing w:line="240" w:lineRule="atLeast"/>
              <w:jc w:val="both"/>
              <w:rPr>
                <w:rFonts w:hint="eastAsia" w:ascii="宋体" w:hAnsi="宋体" w:eastAsia="宋体" w:cs="宋体"/>
                <w:kern w:val="0"/>
                <w:sz w:val="28"/>
                <w:szCs w:val="28"/>
              </w:rPr>
            </w:pPr>
            <w:r>
              <w:rPr>
                <w:rFonts w:hint="eastAsia" w:ascii="宋体" w:hAnsi="宋体" w:cs="宋体"/>
                <w:color w:val="000000"/>
                <w:kern w:val="0"/>
                <w:sz w:val="28"/>
                <w:szCs w:val="28"/>
                <w:lang w:val="en-US" w:eastAsia="zh-CN"/>
              </w:rPr>
              <w:t xml:space="preserve">    </w:t>
            </w:r>
            <w:r>
              <w:rPr>
                <w:rFonts w:hint="eastAsia" w:ascii="宋体" w:hAnsi="宋体" w:eastAsia="宋体" w:cs="宋体"/>
                <w:color w:val="000000"/>
                <w:kern w:val="0"/>
                <w:sz w:val="28"/>
                <w:szCs w:val="28"/>
              </w:rPr>
              <w:t>无</w:t>
            </w:r>
          </w:p>
        </w:tc>
        <w:tc>
          <w:tcPr>
            <w:tcW w:w="939" w:type="dxa"/>
            <w:tcBorders>
              <w:top w:val="nil"/>
              <w:left w:val="nil"/>
              <w:bottom w:val="single" w:color="auto" w:sz="4" w:space="0"/>
              <w:right w:val="single" w:color="auto" w:sz="4" w:space="0"/>
            </w:tcBorders>
            <w:shd w:val="clear" w:color="auto" w:fill="D6E1DB"/>
            <w:vAlign w:val="center"/>
          </w:tcPr>
          <w:p>
            <w:pPr>
              <w:widowControl/>
              <w:spacing w:line="240" w:lineRule="atLeast"/>
              <w:jc w:val="both"/>
              <w:rPr>
                <w:rFonts w:hint="eastAsia" w:ascii="宋体" w:hAnsi="宋体" w:eastAsia="宋体" w:cs="宋体"/>
                <w:kern w:val="0"/>
                <w:sz w:val="28"/>
                <w:szCs w:val="28"/>
              </w:rPr>
            </w:pP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79" w:hRule="atLeast"/>
        </w:trPr>
        <w:tc>
          <w:tcPr>
            <w:tcW w:w="2596" w:type="dxa"/>
            <w:tcBorders>
              <w:top w:val="nil"/>
              <w:left w:val="single" w:color="auto" w:sz="4" w:space="0"/>
              <w:bottom w:val="single" w:color="auto" w:sz="4" w:space="0"/>
              <w:right w:val="single" w:color="auto" w:sz="4" w:space="0"/>
            </w:tcBorders>
            <w:shd w:val="clear" w:color="auto" w:fill="AEC4B8"/>
            <w:vAlign w:val="center"/>
          </w:tcPr>
          <w:p>
            <w:pPr>
              <w:widowControl/>
              <w:wordWrap/>
              <w:adjustRightInd/>
              <w:snapToGrid/>
              <w:spacing w:line="0" w:lineRule="atLeast"/>
              <w:ind w:left="0" w:leftChars="0" w:right="0"/>
              <w:jc w:val="center"/>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金融机构环保措施所产生的效果</w:t>
            </w:r>
          </w:p>
        </w:tc>
        <w:tc>
          <w:tcPr>
            <w:tcW w:w="4123" w:type="dxa"/>
            <w:tcBorders>
              <w:top w:val="nil"/>
              <w:left w:val="nil"/>
              <w:bottom w:val="single" w:color="auto" w:sz="4" w:space="0"/>
              <w:right w:val="single" w:color="auto" w:sz="4" w:space="0"/>
            </w:tcBorders>
            <w:shd w:val="clear" w:color="auto" w:fill="D6E1DB"/>
            <w:vAlign w:val="center"/>
          </w:tcPr>
          <w:p>
            <w:pPr>
              <w:widowControl/>
              <w:wordWrap/>
              <w:adjustRightInd/>
              <w:snapToGrid/>
              <w:spacing w:line="0" w:lineRule="atLeast"/>
              <w:ind w:left="0" w:leftChars="0" w:right="0" w:firstLine="0" w:firstLineChars="0"/>
              <w:jc w:val="center"/>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lang w:eastAsia="zh-TW"/>
              </w:rPr>
              <w:t>为提升员工及社会</w:t>
            </w:r>
            <w:r>
              <w:rPr>
                <w:rFonts w:hint="eastAsia" w:ascii="宋体" w:hAnsi="宋体" w:eastAsia="宋体" w:cs="宋体"/>
                <w:kern w:val="0"/>
                <w:sz w:val="28"/>
                <w:szCs w:val="28"/>
              </w:rPr>
              <w:t>公</w:t>
            </w:r>
            <w:r>
              <w:rPr>
                <w:rFonts w:hint="eastAsia" w:ascii="宋体" w:hAnsi="宋体" w:eastAsia="宋体" w:cs="宋体"/>
                <w:kern w:val="0"/>
                <w:sz w:val="28"/>
                <w:szCs w:val="28"/>
                <w:lang w:eastAsia="zh-TW"/>
              </w:rPr>
              <w:t>众的环保意识所举办的培训活动或公益活动（人次）</w:t>
            </w:r>
          </w:p>
        </w:tc>
        <w:tc>
          <w:tcPr>
            <w:tcW w:w="1226" w:type="dxa"/>
            <w:tcBorders>
              <w:top w:val="nil"/>
              <w:left w:val="nil"/>
              <w:bottom w:val="single" w:color="auto" w:sz="4" w:space="0"/>
              <w:right w:val="single" w:color="auto" w:sz="4" w:space="0"/>
            </w:tcBorders>
            <w:shd w:val="clear" w:color="auto" w:fill="D6E1DB"/>
            <w:vAlign w:val="center"/>
          </w:tcPr>
          <w:p>
            <w:pPr>
              <w:widowControl/>
              <w:spacing w:line="240" w:lineRule="atLeast"/>
              <w:jc w:val="center"/>
              <w:rPr>
                <w:rFonts w:hint="eastAsia" w:ascii="宋体" w:hAnsi="宋体" w:eastAsia="宋体" w:cs="宋体"/>
                <w:kern w:val="0"/>
                <w:sz w:val="28"/>
                <w:szCs w:val="28"/>
              </w:rPr>
            </w:pPr>
            <w:r>
              <w:rPr>
                <w:rFonts w:hint="eastAsia" w:ascii="宋体" w:hAnsi="宋体" w:eastAsia="宋体" w:cs="宋体"/>
                <w:kern w:val="0"/>
                <w:sz w:val="28"/>
                <w:szCs w:val="28"/>
              </w:rPr>
              <w:t>150</w:t>
            </w:r>
          </w:p>
        </w:tc>
        <w:tc>
          <w:tcPr>
            <w:tcW w:w="939" w:type="dxa"/>
            <w:tcBorders>
              <w:top w:val="nil"/>
              <w:left w:val="nil"/>
              <w:bottom w:val="single" w:color="auto" w:sz="4" w:space="0"/>
              <w:right w:val="single" w:color="auto" w:sz="4" w:space="0"/>
            </w:tcBorders>
            <w:shd w:val="clear" w:color="auto" w:fill="D6E1DB"/>
            <w:vAlign w:val="center"/>
          </w:tcPr>
          <w:p>
            <w:pPr>
              <w:widowControl/>
              <w:spacing w:line="240" w:lineRule="atLeast"/>
              <w:ind w:firstLine="616" w:firstLineChars="220"/>
              <w:jc w:val="center"/>
              <w:rPr>
                <w:rFonts w:hint="eastAsia" w:ascii="宋体" w:hAnsi="宋体" w:eastAsia="宋体" w:cs="宋体"/>
                <w:color w:val="auto"/>
                <w:kern w:val="0"/>
                <w:sz w:val="28"/>
                <w:szCs w:val="28"/>
                <w:highlight w:val="none"/>
              </w:rPr>
            </w:pPr>
          </w:p>
        </w:tc>
      </w:tr>
    </w:tbl>
    <w:p>
      <w:pPr>
        <w:pStyle w:val="18"/>
        <w:numPr>
          <w:ilvl w:val="1"/>
          <w:numId w:val="0"/>
        </w:numPr>
        <w:wordWrap/>
        <w:adjustRightInd/>
        <w:snapToGrid/>
        <w:spacing w:before="0" w:beforeLines="0" w:after="0" w:afterLines="0" w:line="590" w:lineRule="exact"/>
        <w:ind w:left="640" w:leftChars="0" w:right="0" w:hanging="640" w:hangingChars="200"/>
        <w:jc w:val="both"/>
        <w:textAlignment w:val="auto"/>
        <w:outlineLvl w:val="0"/>
        <w:rPr>
          <w:rFonts w:hAnsi="黑体" w:cs="仿宋"/>
          <w:b w:val="0"/>
          <w:bCs/>
          <w:color w:val="000000"/>
          <w:sz w:val="32"/>
          <w:szCs w:val="32"/>
        </w:rPr>
      </w:pPr>
      <w:bookmarkStart w:id="40" w:name="_Toc1206"/>
      <w:bookmarkStart w:id="41" w:name="_Toc23339694"/>
      <w:bookmarkStart w:id="42" w:name="_Toc23339956"/>
      <w:r>
        <w:rPr>
          <w:rFonts w:hint="eastAsia" w:hAnsi="黑体" w:cs="仿宋"/>
          <w:b w:val="0"/>
          <w:bCs/>
          <w:color w:val="000000"/>
          <w:sz w:val="32"/>
          <w:szCs w:val="32"/>
          <w:lang w:val="en-US" w:eastAsia="zh-CN"/>
        </w:rPr>
        <w:t xml:space="preserve">    </w:t>
      </w:r>
      <w:bookmarkStart w:id="43" w:name="_Toc21810"/>
      <w:r>
        <w:rPr>
          <w:rFonts w:hint="eastAsia" w:hAnsi="黑体" w:cs="仿宋"/>
          <w:b w:val="0"/>
          <w:bCs/>
          <w:color w:val="000000"/>
          <w:sz w:val="32"/>
          <w:szCs w:val="32"/>
          <w:lang w:eastAsia="zh-CN"/>
        </w:rPr>
        <w:t>九</w:t>
      </w:r>
      <w:r>
        <w:rPr>
          <w:rFonts w:hAnsi="黑体" w:cs="仿宋"/>
          <w:b w:val="0"/>
          <w:bCs/>
          <w:color w:val="000000"/>
          <w:sz w:val="32"/>
          <w:szCs w:val="32"/>
        </w:rPr>
        <w:t>、</w:t>
      </w:r>
      <w:r>
        <w:rPr>
          <w:rFonts w:hint="eastAsia" w:hAnsi="黑体" w:cs="仿宋"/>
          <w:b w:val="0"/>
          <w:bCs/>
          <w:color w:val="000000"/>
          <w:sz w:val="32"/>
          <w:szCs w:val="32"/>
        </w:rPr>
        <w:t>数据梳理、校验及保护</w:t>
      </w:r>
      <w:bookmarkEnd w:id="40"/>
      <w:bookmarkEnd w:id="43"/>
    </w:p>
    <w:p>
      <w:pPr>
        <w:pStyle w:val="19"/>
        <w:wordWrap/>
        <w:adjustRightInd/>
        <w:snapToGrid/>
        <w:spacing w:line="590" w:lineRule="exact"/>
        <w:ind w:right="0" w:firstLine="643" w:firstLineChars="200"/>
        <w:jc w:val="both"/>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rPr>
        <w:t>（一）定期对绿色信贷统计数据质量开展梳理和校验工作</w:t>
      </w:r>
    </w:p>
    <w:p>
      <w:pPr>
        <w:pStyle w:val="19"/>
        <w:wordWrap/>
        <w:adjustRightInd/>
        <w:snapToGrid/>
        <w:spacing w:line="590" w:lineRule="exact"/>
        <w:ind w:righ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为做好本行绿色信贷统计工作，保证统计数据的准确性和及时性，本行在信贷系统中增加了绿色标识功能，实现系统对符合不同标准的绿色信贷的全流程分类管理。我行计财部每季度收集绿色信贷数据，统一核对校验其准确性后，及时上报当地人民银行，进一步提升相关基础数据质量，保证绿色信贷统计数据以及对外披露信息的及时性和准确性。</w:t>
      </w:r>
    </w:p>
    <w:p>
      <w:pPr>
        <w:pStyle w:val="19"/>
        <w:wordWrap/>
        <w:adjustRightInd/>
        <w:snapToGrid/>
        <w:spacing w:line="590" w:lineRule="exact"/>
        <w:ind w:left="640" w:leftChars="0" w:right="0" w:hanging="640" w:hangingChars="200"/>
        <w:jc w:val="both"/>
        <w:textAlignment w:val="auto"/>
        <w:rPr>
          <w:rFonts w:hint="eastAsia" w:ascii="楷体" w:hAnsi="楷体" w:eastAsia="楷体" w:cs="楷体"/>
          <w:b/>
          <w:bCs/>
          <w:color w:val="000000"/>
          <w:sz w:val="32"/>
          <w:szCs w:val="32"/>
        </w:rPr>
      </w:pPr>
      <w:r>
        <w:rPr>
          <w:rFonts w:hint="eastAsia" w:ascii="仿宋" w:hAnsi="仿宋" w:eastAsia="仿宋" w:cs="仿宋"/>
          <w:color w:val="000000"/>
          <w:sz w:val="32"/>
          <w:szCs w:val="32"/>
          <w:lang w:val="en-US" w:eastAsia="zh-CN"/>
        </w:rPr>
        <w:t xml:space="preserve">    </w:t>
      </w:r>
      <w:r>
        <w:rPr>
          <w:rFonts w:hint="eastAsia" w:ascii="楷体" w:hAnsi="楷体" w:eastAsia="楷体" w:cs="楷体"/>
          <w:b/>
          <w:bCs/>
          <w:color w:val="000000"/>
          <w:sz w:val="32"/>
          <w:szCs w:val="32"/>
          <w:lang w:eastAsia="zh-CN"/>
        </w:rPr>
        <w:t>（二）</w:t>
      </w:r>
      <w:r>
        <w:rPr>
          <w:rFonts w:hint="eastAsia" w:ascii="楷体" w:hAnsi="楷体" w:eastAsia="楷体" w:cs="楷体"/>
          <w:b/>
          <w:bCs/>
          <w:color w:val="000000"/>
          <w:sz w:val="32"/>
          <w:szCs w:val="32"/>
        </w:rPr>
        <w:t>建立数据管理流程，保证数据安全</w:t>
      </w:r>
    </w:p>
    <w:p>
      <w:pPr>
        <w:pStyle w:val="19"/>
        <w:wordWrap/>
        <w:adjustRightInd/>
        <w:snapToGrid/>
        <w:spacing w:line="590" w:lineRule="exact"/>
        <w:ind w:right="0"/>
        <w:jc w:val="both"/>
        <w:textAlignment w:val="auto"/>
        <w:rPr>
          <w:rFonts w:hint="eastAsia" w:ascii="仿宋" w:hAnsi="仿宋" w:eastAsia="仿宋" w:cs="仿宋"/>
          <w:bCs/>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我行设立数据安全管理委员会、数据安全官、数据安全管理团队等，采用相应的管理、技术手段，建立数据管理流</w:t>
      </w:r>
      <w:r>
        <w:rPr>
          <w:rFonts w:hint="eastAsia" w:ascii="仿宋" w:hAnsi="仿宋" w:eastAsia="仿宋" w:cs="仿宋"/>
          <w:sz w:val="32"/>
          <w:szCs w:val="32"/>
        </w:rPr>
        <w:t>程，保证数据安全和数据主体合法权益。</w:t>
      </w:r>
      <w:r>
        <w:rPr>
          <w:rFonts w:hint="eastAsia" w:ascii="仿宋" w:hAnsi="仿宋" w:eastAsia="仿宋" w:cs="仿宋"/>
          <w:bCs/>
          <w:sz w:val="32"/>
          <w:szCs w:val="32"/>
        </w:rPr>
        <w:t>具体分工如下</w:t>
      </w:r>
      <w:r>
        <w:rPr>
          <w:rFonts w:hint="eastAsia" w:ascii="仿宋" w:hAnsi="仿宋" w:eastAsia="仿宋" w:cs="仿宋"/>
          <w:bCs/>
          <w:sz w:val="32"/>
          <w:szCs w:val="32"/>
          <w:lang w:eastAsia="zh-CN"/>
        </w:rPr>
        <w:t>图</w:t>
      </w:r>
      <w:r>
        <w:rPr>
          <w:rFonts w:hint="eastAsia" w:ascii="仿宋" w:hAnsi="仿宋" w:eastAsia="仿宋" w:cs="仿宋"/>
          <w:bCs/>
          <w:sz w:val="32"/>
          <w:szCs w:val="32"/>
        </w:rPr>
        <w:t>：</w:t>
      </w:r>
    </w:p>
    <w:p>
      <w:pPr>
        <w:pStyle w:val="2"/>
        <w:ind w:left="640" w:hanging="640" w:hanging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pict>
          <v:shape id="_x0000_i1030" o:spt="75" type="#_x0000_t75" style="height:301.5pt;width:416.55pt;" fillcolor="#FFFFFF" filled="f" o:preferrelative="t" stroked="f" coordsize="21600,21600">
            <v:path/>
            <v:fill on="f" color2="#FFFFFF" focussize="0,0"/>
            <v:stroke on="f"/>
            <v:imagedata r:id="rId10" gain="65536f" blacklevel="0f" gamma="0" o:title=""/>
            <o:lock v:ext="edit" position="f" selection="f" grouping="f" rotation="f" cropping="f" text="f" aspectratio="t"/>
            <w10:wrap type="none"/>
            <w10:anchorlock/>
          </v:shape>
        </w:pict>
      </w:r>
      <w:r>
        <w:rPr>
          <w:rFonts w:hint="eastAsia" w:ascii="仿宋" w:hAnsi="仿宋" w:eastAsia="仿宋" w:cs="仿宋"/>
          <w:kern w:val="2"/>
          <w:sz w:val="32"/>
          <w:szCs w:val="32"/>
          <w:lang w:val="en-US" w:eastAsia="zh-CN" w:bidi="ar-SA"/>
        </w:rPr>
        <w:t xml:space="preserve">    </w:t>
      </w:r>
    </w:p>
    <w:p>
      <w:pPr>
        <w:pStyle w:val="2"/>
        <w:ind w:left="640" w:hanging="640" w:hanging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w:t>
      </w:r>
      <w:r>
        <w:rPr>
          <w:rFonts w:hint="eastAsia" w:ascii="宋体" w:hAnsi="宋体" w:eastAsia="宋体" w:cs="宋体"/>
          <w:kern w:val="2"/>
          <w:sz w:val="28"/>
          <w:szCs w:val="28"/>
          <w:lang w:val="en-US" w:eastAsia="zh-CN" w:bidi="ar-SA"/>
        </w:rPr>
        <w:t xml:space="preserve">       图6：</w:t>
      </w:r>
      <w:r>
        <w:rPr>
          <w:rFonts w:hint="eastAsia" w:ascii="宋体" w:hAnsi="宋体" w:eastAsia="宋体" w:cs="宋体"/>
          <w:color w:val="000000"/>
          <w:sz w:val="28"/>
          <w:szCs w:val="28"/>
        </w:rPr>
        <w:t>数据管理流</w:t>
      </w:r>
      <w:r>
        <w:rPr>
          <w:rFonts w:hint="eastAsia" w:ascii="宋体" w:hAnsi="宋体" w:eastAsia="宋体" w:cs="宋体"/>
          <w:sz w:val="28"/>
          <w:szCs w:val="28"/>
        </w:rPr>
        <w:t>程</w:t>
      </w:r>
      <w:r>
        <w:rPr>
          <w:rFonts w:hint="eastAsia" w:ascii="宋体" w:hAnsi="宋体" w:eastAsia="宋体" w:cs="宋体"/>
          <w:sz w:val="28"/>
          <w:szCs w:val="28"/>
          <w:lang w:eastAsia="zh-CN"/>
        </w:rPr>
        <w:t>图</w:t>
      </w:r>
    </w:p>
    <w:p>
      <w:pPr>
        <w:pStyle w:val="2"/>
        <w:ind w:firstLine="321" w:firstLineChars="100"/>
        <w:rPr>
          <w:rFonts w:ascii="仿宋" w:hAnsi="仿宋" w:eastAsia="仿宋" w:cs="仿宋"/>
          <w:b/>
          <w:bCs/>
          <w:sz w:val="32"/>
          <w:szCs w:val="32"/>
        </w:rPr>
      </w:pPr>
      <w:r>
        <w:rPr>
          <w:rFonts w:hint="eastAsia" w:ascii="楷体" w:hAnsi="楷体" w:eastAsia="楷体" w:cs="楷体"/>
          <w:b/>
          <w:bCs/>
          <w:sz w:val="32"/>
          <w:szCs w:val="32"/>
        </w:rPr>
        <w:t>（三）建立应急预案</w:t>
      </w:r>
    </w:p>
    <w:p>
      <w:pPr>
        <w:wordWrap/>
        <w:adjustRightInd/>
        <w:snapToGrid/>
        <w:spacing w:line="590" w:lineRule="exact"/>
        <w:ind w:right="0"/>
        <w:jc w:val="both"/>
        <w:textAlignment w:val="auto"/>
        <w:rPr>
          <w:rFonts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我行建立应急预案，对可能发生的数据安全事件或数据安全事故，及时采取有效的应对措施。应急流程如下：</w:t>
      </w:r>
    </w:p>
    <w:p>
      <w:pPr>
        <w:wordWrap/>
        <w:adjustRightInd/>
        <w:snapToGrid/>
        <w:spacing w:line="590" w:lineRule="exact"/>
        <w:ind w:left="0" w:leftChars="0" w:right="0" w:firstLine="707" w:firstLineChars="220"/>
        <w:jc w:val="both"/>
        <w:textAlignment w:val="auto"/>
        <w:rPr>
          <w:rFonts w:ascii="仿宋" w:hAnsi="仿宋" w:eastAsia="仿宋" w:cs="仿宋"/>
          <w:sz w:val="32"/>
          <w:szCs w:val="32"/>
        </w:rPr>
      </w:pPr>
      <w:r>
        <w:rPr>
          <w:rFonts w:ascii="仿宋" w:hAnsi="仿宋" w:eastAsia="仿宋" w:cs="仿宋"/>
          <w:b/>
          <w:sz w:val="32"/>
          <w:szCs w:val="32"/>
        </w:rPr>
        <w:t>1.</w:t>
      </w:r>
      <w:r>
        <w:rPr>
          <w:rFonts w:hint="eastAsia" w:ascii="仿宋" w:hAnsi="仿宋" w:eastAsia="仿宋" w:cs="仿宋"/>
          <w:b/>
          <w:sz w:val="32"/>
          <w:szCs w:val="32"/>
        </w:rPr>
        <w:t>事件发现。</w:t>
      </w:r>
      <w:r>
        <w:rPr>
          <w:rFonts w:hint="eastAsia" w:ascii="仿宋" w:hAnsi="仿宋" w:eastAsia="仿宋" w:cs="仿宋"/>
          <w:sz w:val="32"/>
          <w:szCs w:val="32"/>
        </w:rPr>
        <w:t>依据“ 谁发现、谁报告”原则，一旦发现数据安全事件时，数据安全事件发生发现单位应立即将事件情况上报管理团队，数据安全管理团队应记录事件发现的日期、时间、当时了解到的情况信息</w:t>
      </w:r>
      <w:r>
        <w:rPr>
          <w:rFonts w:hint="eastAsia" w:ascii="仿宋" w:hAnsi="仿宋" w:eastAsia="仿宋" w:cs="仿宋"/>
          <w:sz w:val="32"/>
          <w:szCs w:val="32"/>
          <w:lang w:eastAsia="zh-CN"/>
        </w:rPr>
        <w:t>，</w:t>
      </w:r>
      <w:r>
        <w:rPr>
          <w:rFonts w:hint="eastAsia" w:ascii="仿宋" w:hAnsi="仿宋" w:eastAsia="仿宋" w:cs="仿宋"/>
          <w:sz w:val="32"/>
          <w:szCs w:val="32"/>
        </w:rPr>
        <w:t>作为存档之用。</w:t>
      </w:r>
    </w:p>
    <w:p>
      <w:pPr>
        <w:wordWrap/>
        <w:adjustRightInd/>
        <w:snapToGrid/>
        <w:spacing w:line="590" w:lineRule="exact"/>
        <w:ind w:left="0" w:leftChars="0" w:right="0" w:firstLine="707" w:firstLineChars="220"/>
        <w:jc w:val="both"/>
        <w:textAlignment w:val="auto"/>
        <w:rPr>
          <w:rFonts w:ascii="仿宋" w:hAnsi="仿宋" w:eastAsia="仿宋" w:cs="仿宋"/>
          <w:sz w:val="32"/>
          <w:szCs w:val="32"/>
        </w:rPr>
      </w:pPr>
      <w:r>
        <w:rPr>
          <w:rFonts w:ascii="仿宋" w:hAnsi="仿宋" w:eastAsia="仿宋" w:cs="仿宋"/>
          <w:b/>
          <w:sz w:val="32"/>
          <w:szCs w:val="32"/>
        </w:rPr>
        <w:t>2.</w:t>
      </w:r>
      <w:r>
        <w:rPr>
          <w:rFonts w:hint="eastAsia" w:ascii="仿宋" w:hAnsi="仿宋" w:eastAsia="仿宋" w:cs="仿宋"/>
          <w:b/>
          <w:sz w:val="32"/>
          <w:szCs w:val="32"/>
        </w:rPr>
        <w:t>事件初步评估分析与应急处置。</w:t>
      </w:r>
      <w:r>
        <w:rPr>
          <w:rFonts w:hint="eastAsia" w:ascii="仿宋" w:hAnsi="仿宋" w:eastAsia="仿宋" w:cs="仿宋"/>
          <w:sz w:val="32"/>
          <w:szCs w:val="32"/>
        </w:rPr>
        <w:t>数据安全管理团队可组织成立跨部门应急处置工作组，对事件的级别进行研判，形成应急处置方案；注意由流程与IT管理部负责封存涉事点交易日志、操作日志、网络日志等事件相关证据</w:t>
      </w:r>
      <w:r>
        <w:rPr>
          <w:rFonts w:hint="eastAsia" w:ascii="仿宋" w:hAnsi="仿宋" w:eastAsia="仿宋" w:cs="仿宋"/>
          <w:sz w:val="32"/>
          <w:szCs w:val="32"/>
          <w:lang w:eastAsia="zh-CN"/>
        </w:rPr>
        <w:t>，</w:t>
      </w:r>
      <w:r>
        <w:rPr>
          <w:rFonts w:hint="eastAsia" w:ascii="仿宋" w:hAnsi="仿宋" w:eastAsia="仿宋" w:cs="仿宋"/>
          <w:sz w:val="32"/>
          <w:szCs w:val="32"/>
        </w:rPr>
        <w:t>以便于后续调查。</w:t>
      </w:r>
    </w:p>
    <w:p>
      <w:pPr>
        <w:wordWrap/>
        <w:adjustRightInd/>
        <w:snapToGrid/>
        <w:spacing w:line="590" w:lineRule="exact"/>
        <w:ind w:left="0" w:leftChars="0" w:right="0" w:firstLine="707" w:firstLineChars="220"/>
        <w:jc w:val="both"/>
        <w:textAlignment w:val="auto"/>
        <w:rPr>
          <w:rFonts w:ascii="仿宋" w:hAnsi="仿宋" w:eastAsia="仿宋" w:cs="仿宋"/>
          <w:sz w:val="32"/>
          <w:szCs w:val="32"/>
        </w:rPr>
      </w:pPr>
      <w:r>
        <w:rPr>
          <w:rFonts w:ascii="仿宋" w:hAnsi="仿宋" w:eastAsia="仿宋" w:cs="仿宋"/>
          <w:b/>
          <w:sz w:val="32"/>
          <w:szCs w:val="32"/>
        </w:rPr>
        <w:t>3.</w:t>
      </w:r>
      <w:r>
        <w:rPr>
          <w:rFonts w:hint="eastAsia" w:ascii="仿宋" w:hAnsi="仿宋" w:eastAsia="仿宋" w:cs="仿宋"/>
          <w:b/>
          <w:sz w:val="32"/>
          <w:szCs w:val="32"/>
        </w:rPr>
        <w:t>事件报告。</w:t>
      </w:r>
      <w:r>
        <w:rPr>
          <w:rFonts w:hint="eastAsia" w:ascii="仿宋" w:hAnsi="仿宋" w:eastAsia="仿宋" w:cs="仿宋"/>
          <w:sz w:val="32"/>
          <w:szCs w:val="32"/>
        </w:rPr>
        <w:t>数据安全管理团队应联合安全事件发生单位，评估是否需要向DPO以外的更高级管理层或委员会作紧急通报；在60分钟内将问题产生的原因、后果、解决方案及相关资料告知牵头人、相关一级中心或一级部门总、董事会办公室室及数据安全管理团队。</w:t>
      </w:r>
    </w:p>
    <w:p>
      <w:pPr>
        <w:wordWrap/>
        <w:adjustRightInd/>
        <w:snapToGrid/>
        <w:spacing w:line="590" w:lineRule="exact"/>
        <w:ind w:left="0" w:leftChars="0" w:right="0" w:firstLine="707" w:firstLineChars="220"/>
        <w:jc w:val="both"/>
        <w:textAlignment w:val="auto"/>
        <w:rPr>
          <w:rFonts w:ascii="仿宋" w:hAnsi="仿宋" w:eastAsia="仿宋" w:cs="仿宋"/>
          <w:sz w:val="32"/>
          <w:szCs w:val="32"/>
        </w:rPr>
      </w:pPr>
      <w:r>
        <w:rPr>
          <w:rFonts w:ascii="仿宋" w:hAnsi="仿宋" w:eastAsia="仿宋" w:cs="仿宋"/>
          <w:b/>
          <w:sz w:val="32"/>
          <w:szCs w:val="32"/>
        </w:rPr>
        <w:t>4.</w:t>
      </w:r>
      <w:r>
        <w:rPr>
          <w:rFonts w:hint="eastAsia" w:ascii="仿宋" w:hAnsi="仿宋" w:eastAsia="仿宋" w:cs="仿宋"/>
          <w:b/>
          <w:sz w:val="32"/>
          <w:szCs w:val="32"/>
        </w:rPr>
        <w:t>问题整改与排查。</w:t>
      </w:r>
      <w:r>
        <w:rPr>
          <w:rFonts w:hint="eastAsia" w:ascii="仿宋" w:hAnsi="仿宋" w:eastAsia="仿宋" w:cs="仿宋"/>
          <w:sz w:val="32"/>
          <w:szCs w:val="32"/>
        </w:rPr>
        <w:t>数据安全管理团队应会同业务运营单位、流程与IT管理部根据调查评估结果，形成整改方案，并推动实施；数据安全管理团队应组织对同类型的业务、系统展开关联排查，及时消除事件带来的潜在隐患。</w:t>
      </w:r>
    </w:p>
    <w:p>
      <w:pPr>
        <w:wordWrap/>
        <w:adjustRightInd/>
        <w:snapToGrid/>
        <w:spacing w:line="590" w:lineRule="exact"/>
        <w:ind w:left="0" w:leftChars="0" w:right="0" w:firstLine="707" w:firstLineChars="220"/>
        <w:jc w:val="both"/>
        <w:textAlignment w:val="auto"/>
        <w:rPr>
          <w:rFonts w:ascii="仿宋" w:hAnsi="仿宋" w:eastAsia="仿宋" w:cs="仿宋"/>
          <w:sz w:val="32"/>
          <w:szCs w:val="32"/>
        </w:rPr>
      </w:pPr>
      <w:r>
        <w:rPr>
          <w:rFonts w:ascii="仿宋" w:hAnsi="仿宋" w:eastAsia="仿宋" w:cs="仿宋"/>
          <w:b/>
          <w:sz w:val="32"/>
          <w:szCs w:val="32"/>
        </w:rPr>
        <w:t>5.</w:t>
      </w:r>
      <w:r>
        <w:rPr>
          <w:rFonts w:hint="eastAsia" w:ascii="仿宋" w:hAnsi="仿宋" w:eastAsia="仿宋" w:cs="仿宋"/>
          <w:b/>
          <w:sz w:val="32"/>
          <w:szCs w:val="32"/>
        </w:rPr>
        <w:t>问题总结。</w:t>
      </w:r>
      <w:r>
        <w:rPr>
          <w:rFonts w:hint="eastAsia" w:ascii="仿宋" w:hAnsi="仿宋" w:eastAsia="仿宋" w:cs="仿宋"/>
          <w:sz w:val="32"/>
          <w:szCs w:val="32"/>
        </w:rPr>
        <w:t>整改方案得以落实后数据管理中心负责 形成事件总结报告，报公司领导；报告内容应包括：事件责任方、原因、性质、影响范围、已采取的措施、整改情况等。</w:t>
      </w:r>
    </w:p>
    <w:p>
      <w:pPr>
        <w:pStyle w:val="18"/>
        <w:numPr>
          <w:ilvl w:val="1"/>
          <w:numId w:val="0"/>
        </w:numPr>
        <w:wordWrap/>
        <w:adjustRightInd/>
        <w:snapToGrid/>
        <w:spacing w:before="0" w:beforeLines="0" w:after="0" w:afterLines="0" w:line="590" w:lineRule="exact"/>
        <w:ind w:left="0" w:leftChars="0" w:right="0" w:firstLine="704" w:firstLineChars="220"/>
        <w:jc w:val="both"/>
        <w:textAlignment w:val="auto"/>
        <w:outlineLvl w:val="0"/>
        <w:rPr>
          <w:rFonts w:hAnsi="黑体" w:cs="仿宋"/>
          <w:b w:val="0"/>
          <w:bCs w:val="0"/>
          <w:color w:val="000000" w:themeColor="text1"/>
          <w:sz w:val="32"/>
          <w:szCs w:val="32"/>
        </w:rPr>
      </w:pPr>
      <w:bookmarkStart w:id="44" w:name="_Toc14253"/>
      <w:bookmarkStart w:id="45" w:name="_Toc28999"/>
      <w:r>
        <w:rPr>
          <w:rFonts w:hint="eastAsia" w:hAnsi="黑体" w:cs="仿宋"/>
          <w:b w:val="0"/>
          <w:bCs w:val="0"/>
          <w:color w:val="000000" w:themeColor="text1"/>
          <w:sz w:val="32"/>
          <w:szCs w:val="32"/>
        </w:rPr>
        <w:t>十、绿色金融创新及研究成果</w:t>
      </w:r>
      <w:bookmarkEnd w:id="41"/>
      <w:bookmarkEnd w:id="42"/>
      <w:bookmarkEnd w:id="44"/>
      <w:bookmarkEnd w:id="45"/>
    </w:p>
    <w:p>
      <w:pPr>
        <w:jc w:val="center"/>
        <w:rPr>
          <w:rFonts w:hint="eastAsia" w:ascii="宋体" w:hAnsi="宋体" w:eastAsia="宋体" w:cs="宋体"/>
          <w:sz w:val="28"/>
          <w:szCs w:val="28"/>
          <w:lang w:val="zh-TW"/>
        </w:rPr>
      </w:pPr>
      <w:r>
        <w:rPr>
          <w:rFonts w:hint="eastAsia" w:ascii="宋体" w:hAnsi="宋体" w:eastAsia="宋体" w:cs="宋体"/>
          <w:sz w:val="28"/>
          <w:szCs w:val="28"/>
          <w:lang w:val="zh-TW" w:eastAsia="zh-TW"/>
        </w:rPr>
        <w:t>表</w:t>
      </w:r>
      <w:r>
        <w:rPr>
          <w:rFonts w:hint="eastAsia" w:ascii="宋体" w:hAnsi="宋体" w:cs="宋体"/>
          <w:sz w:val="28"/>
          <w:szCs w:val="28"/>
          <w:lang w:val="en-US" w:eastAsia="zh-CN"/>
        </w:rPr>
        <w:t>5</w:t>
      </w:r>
      <w:r>
        <w:rPr>
          <w:rFonts w:hint="eastAsia" w:ascii="宋体" w:hAnsi="宋体" w:eastAsia="宋体" w:cs="宋体"/>
          <w:sz w:val="28"/>
          <w:szCs w:val="28"/>
          <w:lang w:val="zh-TW" w:eastAsia="zh-CN"/>
        </w:rPr>
        <w:t>：</w:t>
      </w:r>
      <w:r>
        <w:rPr>
          <w:rFonts w:hint="eastAsia" w:ascii="宋体" w:hAnsi="宋体" w:eastAsia="宋体" w:cs="宋体"/>
          <w:sz w:val="28"/>
          <w:szCs w:val="28"/>
          <w:lang w:val="zh-TW"/>
        </w:rPr>
        <w:t>金融机构绿</w:t>
      </w:r>
      <w:r>
        <w:rPr>
          <w:rFonts w:hint="eastAsia" w:ascii="宋体" w:hAnsi="宋体" w:eastAsia="宋体" w:cs="宋体"/>
          <w:sz w:val="28"/>
          <w:szCs w:val="28"/>
          <w:lang w:val="zh-TW" w:eastAsia="zh-TW"/>
        </w:rPr>
        <w:t>色金融创新</w:t>
      </w:r>
      <w:r>
        <w:rPr>
          <w:rFonts w:hint="eastAsia" w:ascii="宋体" w:hAnsi="宋体" w:eastAsia="宋体" w:cs="宋体"/>
          <w:sz w:val="28"/>
          <w:szCs w:val="28"/>
          <w:lang w:val="zh-TW"/>
        </w:rPr>
        <w:t>案例</w:t>
      </w:r>
    </w:p>
    <w:tbl>
      <w:tblPr>
        <w:tblStyle w:val="12"/>
        <w:tblW w:w="8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8844" w:type="dxa"/>
            <w:shd w:val="clear" w:color="auto" w:fill="auto"/>
            <w:vAlign w:val="top"/>
          </w:tcPr>
          <w:p>
            <w:pPr>
              <w:numPr>
                <w:ilvl w:val="0"/>
                <w:numId w:val="3"/>
              </w:numPr>
              <w:spacing w:line="240" w:lineRule="atLeast"/>
              <w:ind w:firstLine="616" w:firstLineChars="220"/>
              <w:rPr>
                <w:rFonts w:hint="eastAsia" w:ascii="新宋体" w:hAnsi="新宋体" w:eastAsia="新宋体" w:cs="新宋体"/>
                <w:sz w:val="28"/>
                <w:szCs w:val="28"/>
              </w:rPr>
            </w:pPr>
            <w:r>
              <w:rPr>
                <w:rFonts w:hint="eastAsia" w:ascii="新宋体" w:hAnsi="新宋体" w:eastAsia="新宋体" w:cs="新宋体"/>
                <w:sz w:val="28"/>
                <w:szCs w:val="28"/>
              </w:rPr>
              <w:t>案例背景</w:t>
            </w:r>
          </w:p>
          <w:p>
            <w:pPr>
              <w:spacing w:line="240" w:lineRule="atLeast"/>
              <w:rPr>
                <w:rFonts w:hint="eastAsia" w:ascii="新宋体" w:hAnsi="新宋体" w:eastAsia="新宋体" w:cs="新宋体"/>
                <w:sz w:val="28"/>
                <w:szCs w:val="28"/>
              </w:rPr>
            </w:pPr>
            <w:r>
              <w:rPr>
                <w:rFonts w:hint="eastAsia" w:ascii="新宋体" w:hAnsi="新宋体" w:eastAsia="新宋体" w:cs="新宋体"/>
                <w:sz w:val="28"/>
                <w:szCs w:val="28"/>
                <w:lang w:val="en-US" w:eastAsia="zh-CN"/>
              </w:rPr>
              <w:t xml:space="preserve">    </w:t>
            </w:r>
            <w:r>
              <w:rPr>
                <w:rFonts w:hint="eastAsia" w:ascii="新宋体" w:hAnsi="新宋体" w:eastAsia="新宋体" w:cs="新宋体"/>
                <w:sz w:val="28"/>
                <w:szCs w:val="28"/>
              </w:rPr>
              <w:t>为解决提升改造污染治理设施却受资金所困、污染治理项目得不到融资、绿色环保产业发展得不到资金支持等企业在经营发展中遇到的困难，2019年12月，我行联合绵阳市生态环境局推出绿色金融“环保贷”产品。</w:t>
            </w:r>
            <w:r>
              <w:rPr>
                <w:rFonts w:hint="eastAsia" w:ascii="新宋体" w:hAnsi="新宋体" w:eastAsia="新宋体" w:cs="新宋体"/>
                <w:sz w:val="28"/>
                <w:szCs w:val="28"/>
                <w:lang w:val="en-US" w:eastAsia="zh-CN"/>
              </w:rPr>
              <w:t>2020年，</w:t>
            </w:r>
            <w:r>
              <w:rPr>
                <w:rFonts w:hint="eastAsia" w:ascii="新宋体" w:hAnsi="新宋体" w:eastAsia="新宋体" w:cs="新宋体"/>
                <w:sz w:val="28"/>
                <w:szCs w:val="28"/>
              </w:rPr>
              <w:t>我市一家水利公司为支付工程款，急需一笔资金。在了解到助企福利“环保贷”后，便到我行提交了“环保贷”申请。</w:t>
            </w:r>
          </w:p>
          <w:p>
            <w:pPr>
              <w:numPr>
                <w:ilvl w:val="0"/>
                <w:numId w:val="3"/>
              </w:numPr>
              <w:spacing w:line="240" w:lineRule="atLeast"/>
              <w:ind w:firstLine="616" w:firstLineChars="220"/>
              <w:rPr>
                <w:rFonts w:hint="eastAsia" w:ascii="新宋体" w:hAnsi="新宋体" w:eastAsia="新宋体" w:cs="新宋体"/>
                <w:sz w:val="28"/>
                <w:szCs w:val="28"/>
              </w:rPr>
            </w:pPr>
            <w:r>
              <w:rPr>
                <w:rFonts w:hint="eastAsia" w:ascii="新宋体" w:hAnsi="新宋体" w:eastAsia="新宋体" w:cs="新宋体"/>
                <w:sz w:val="28"/>
                <w:szCs w:val="28"/>
              </w:rPr>
              <w:t>主要做法</w:t>
            </w:r>
          </w:p>
          <w:p>
            <w:pPr>
              <w:spacing w:line="240" w:lineRule="atLeast"/>
              <w:ind w:firstLine="616" w:firstLineChars="220"/>
              <w:rPr>
                <w:rFonts w:hint="eastAsia" w:ascii="新宋体" w:hAnsi="新宋体" w:eastAsia="新宋体" w:cs="新宋体"/>
                <w:sz w:val="28"/>
                <w:szCs w:val="28"/>
              </w:rPr>
            </w:pPr>
            <w:r>
              <w:rPr>
                <w:rFonts w:hint="eastAsia" w:ascii="新宋体" w:hAnsi="新宋体" w:eastAsia="新宋体" w:cs="新宋体"/>
                <w:sz w:val="28"/>
                <w:szCs w:val="28"/>
              </w:rPr>
              <w:t>经调查了解，该公司的经营发展方向是以供电、灌区排水为主，并依托水利工程发展旅游业务。水资源是可再生能源，水电可以有效调节能源结构，提高水资源的利用率，符合国家产业政策，凭借环保诚信的“成绩”，最终该公司获得了我行1亿元环保贷授信支持。</w:t>
            </w:r>
          </w:p>
          <w:p>
            <w:pPr>
              <w:numPr>
                <w:ilvl w:val="0"/>
                <w:numId w:val="3"/>
              </w:numPr>
              <w:spacing w:line="240" w:lineRule="atLeast"/>
              <w:ind w:firstLine="616" w:firstLineChars="220"/>
              <w:rPr>
                <w:rFonts w:hint="eastAsia" w:ascii="新宋体" w:hAnsi="新宋体" w:eastAsia="新宋体" w:cs="新宋体"/>
                <w:sz w:val="28"/>
                <w:szCs w:val="28"/>
              </w:rPr>
            </w:pPr>
            <w:r>
              <w:rPr>
                <w:rFonts w:hint="eastAsia" w:ascii="新宋体" w:hAnsi="新宋体" w:eastAsia="新宋体" w:cs="新宋体"/>
                <w:sz w:val="28"/>
                <w:szCs w:val="28"/>
              </w:rPr>
              <w:t>主要成效</w:t>
            </w:r>
          </w:p>
          <w:p>
            <w:pPr>
              <w:pStyle w:val="9"/>
              <w:shd w:val="clear" w:color="auto" w:fill="FFFFFF"/>
              <w:spacing w:before="0" w:beforeAutospacing="0" w:after="0" w:afterAutospacing="0" w:line="240" w:lineRule="atLeast"/>
              <w:jc w:val="both"/>
              <w:rPr>
                <w:rFonts w:hint="eastAsia" w:ascii="新宋体" w:hAnsi="新宋体" w:eastAsia="新宋体" w:cs="新宋体"/>
                <w:sz w:val="28"/>
                <w:szCs w:val="28"/>
              </w:rPr>
            </w:pPr>
            <w:r>
              <w:rPr>
                <w:rFonts w:hint="eastAsia" w:ascii="新宋体" w:hAnsi="新宋体" w:eastAsia="新宋体" w:cs="新宋体"/>
                <w:kern w:val="2"/>
                <w:sz w:val="28"/>
                <w:szCs w:val="28"/>
                <w:lang w:val="en-US" w:eastAsia="zh-CN"/>
              </w:rPr>
              <w:t xml:space="preserve">    </w:t>
            </w:r>
            <w:r>
              <w:rPr>
                <w:rFonts w:hint="eastAsia" w:ascii="新宋体" w:hAnsi="新宋体" w:eastAsia="新宋体" w:cs="新宋体"/>
                <w:kern w:val="2"/>
                <w:sz w:val="28"/>
                <w:szCs w:val="28"/>
              </w:rPr>
              <w:t>通过授信支持，该公司根据需求进行了两次提款。相比普通信用贷款，“环保贷”额度高，利率低，</w:t>
            </w:r>
            <w:r>
              <w:rPr>
                <w:rFonts w:hint="eastAsia" w:ascii="新宋体" w:hAnsi="新宋体" w:eastAsia="新宋体" w:cs="新宋体"/>
                <w:kern w:val="2"/>
                <w:sz w:val="28"/>
                <w:szCs w:val="28"/>
                <w:lang w:eastAsia="zh-CN"/>
              </w:rPr>
              <w:t>进一步增强了</w:t>
            </w:r>
            <w:r>
              <w:rPr>
                <w:rFonts w:hint="eastAsia" w:ascii="新宋体" w:hAnsi="新宋体" w:eastAsia="新宋体" w:cs="新宋体"/>
                <w:kern w:val="2"/>
                <w:sz w:val="28"/>
                <w:szCs w:val="28"/>
              </w:rPr>
              <w:t>企业环保意识。目前，该项目已建立起一套完整的环境和社会管理体系：严格控制生态破坏，落实生态恢复措施；加强水环境保护措施；落实库区移民安置的环境保护工作以及加强施工期及运营期的环境管理与检测工作。</w:t>
            </w:r>
          </w:p>
          <w:p>
            <w:pPr>
              <w:numPr>
                <w:ilvl w:val="0"/>
                <w:numId w:val="3"/>
              </w:numPr>
              <w:spacing w:line="240" w:lineRule="atLeast"/>
              <w:ind w:firstLine="616" w:firstLineChars="220"/>
              <w:rPr>
                <w:rFonts w:hint="eastAsia" w:ascii="新宋体" w:hAnsi="新宋体" w:eastAsia="新宋体" w:cs="新宋体"/>
                <w:sz w:val="28"/>
                <w:szCs w:val="28"/>
              </w:rPr>
            </w:pPr>
            <w:r>
              <w:rPr>
                <w:rFonts w:hint="eastAsia" w:ascii="新宋体" w:hAnsi="新宋体" w:eastAsia="新宋体" w:cs="新宋体"/>
                <w:sz w:val="28"/>
                <w:szCs w:val="28"/>
              </w:rPr>
              <w:t>案例总结</w:t>
            </w:r>
          </w:p>
          <w:p>
            <w:pPr>
              <w:pStyle w:val="9"/>
              <w:shd w:val="clear" w:color="auto" w:fill="FFFFFF"/>
              <w:spacing w:before="0" w:beforeAutospacing="0" w:after="0" w:afterAutospacing="0" w:line="240" w:lineRule="atLeast"/>
              <w:jc w:val="both"/>
              <w:rPr>
                <w:rFonts w:hint="eastAsia" w:ascii="新宋体" w:hAnsi="新宋体" w:eastAsia="新宋体" w:cs="新宋体"/>
                <w:color w:val="333333"/>
                <w:spacing w:val="30"/>
                <w:sz w:val="28"/>
                <w:szCs w:val="28"/>
                <w:shd w:val="clear" w:color="auto" w:fill="FFFFFF"/>
              </w:rPr>
            </w:pPr>
            <w:r>
              <w:rPr>
                <w:rFonts w:hint="eastAsia" w:ascii="新宋体" w:hAnsi="新宋体" w:eastAsia="新宋体" w:cs="新宋体"/>
                <w:kern w:val="2"/>
                <w:sz w:val="28"/>
                <w:szCs w:val="28"/>
                <w:lang w:val="en-US" w:eastAsia="zh-CN"/>
              </w:rPr>
              <w:t xml:space="preserve">    </w:t>
            </w:r>
            <w:r>
              <w:rPr>
                <w:rFonts w:hint="eastAsia" w:ascii="新宋体" w:hAnsi="新宋体" w:eastAsia="新宋体" w:cs="新宋体"/>
                <w:kern w:val="2"/>
                <w:sz w:val="28"/>
                <w:szCs w:val="28"/>
              </w:rPr>
              <w:t>此次环保贷的发放，不仅解决了企业的资金周转难题，同时丰富了银行的贷款产品</w:t>
            </w:r>
            <w:r>
              <w:rPr>
                <w:rFonts w:hint="eastAsia" w:ascii="新宋体" w:hAnsi="新宋体" w:eastAsia="新宋体" w:cs="新宋体"/>
                <w:kern w:val="2"/>
                <w:sz w:val="28"/>
                <w:szCs w:val="28"/>
                <w:lang w:eastAsia="zh-CN"/>
              </w:rPr>
              <w:t>。</w:t>
            </w:r>
            <w:r>
              <w:rPr>
                <w:rFonts w:hint="eastAsia" w:ascii="新宋体" w:hAnsi="新宋体" w:eastAsia="新宋体" w:cs="新宋体"/>
                <w:kern w:val="2"/>
                <w:sz w:val="28"/>
                <w:szCs w:val="28"/>
              </w:rPr>
              <w:t>此外，环保贷的推广也让更多的企业自觉树立起环保意识，引导更多金融资本进入生态环保领域，构建多元化、市场化的生态环保投入机制，助推绿色</w:t>
            </w:r>
            <w:r>
              <w:rPr>
                <w:rFonts w:hint="eastAsia" w:ascii="新宋体" w:hAnsi="新宋体" w:eastAsia="新宋体" w:cs="新宋体"/>
                <w:kern w:val="2"/>
                <w:sz w:val="28"/>
                <w:szCs w:val="28"/>
                <w:lang w:eastAsia="zh-CN"/>
              </w:rPr>
              <w:t>低碳</w:t>
            </w:r>
            <w:r>
              <w:rPr>
                <w:rFonts w:hint="eastAsia" w:ascii="新宋体" w:hAnsi="新宋体" w:eastAsia="新宋体" w:cs="新宋体"/>
                <w:kern w:val="2"/>
                <w:sz w:val="28"/>
                <w:szCs w:val="28"/>
              </w:rPr>
              <w:t>发展，为“绿色绵阳”“生态绵阳”建设作出贡献。</w:t>
            </w:r>
          </w:p>
        </w:tc>
      </w:tr>
    </w:tbl>
    <w:p>
      <w:pPr>
        <w:widowControl w:val="0"/>
        <w:wordWrap/>
        <w:adjustRightInd/>
        <w:snapToGrid/>
        <w:spacing w:line="590" w:lineRule="exact"/>
        <w:ind w:left="142" w:right="0" w:firstLine="704" w:firstLineChars="220"/>
        <w:jc w:val="both"/>
        <w:textAlignment w:val="auto"/>
        <w:outlineLvl w:val="0"/>
        <w:rPr>
          <w:rFonts w:hint="eastAsia" w:ascii="黑体" w:hAnsi="黑体" w:eastAsia="黑体" w:cs="方正清仿宋 简 Bold"/>
          <w:b w:val="0"/>
          <w:bCs/>
          <w:sz w:val="32"/>
          <w:szCs w:val="32"/>
        </w:rPr>
      </w:pPr>
      <w:bookmarkStart w:id="46" w:name="_Toc10437"/>
      <w:bookmarkStart w:id="47" w:name="_Toc24372"/>
      <w:r>
        <w:rPr>
          <w:rFonts w:hint="eastAsia" w:ascii="黑体" w:hAnsi="黑体" w:eastAsia="黑体" w:cs="黑体"/>
          <w:color w:val="000000"/>
          <w:sz w:val="32"/>
          <w:szCs w:val="32"/>
        </w:rPr>
        <w:t>十</w:t>
      </w:r>
      <w:bookmarkEnd w:id="46"/>
      <w:r>
        <w:rPr>
          <w:rFonts w:hint="eastAsia" w:hAnsi="黑体" w:cs="仿宋"/>
          <w:b w:val="0"/>
          <w:bCs w:val="0"/>
          <w:color w:val="000000"/>
          <w:sz w:val="32"/>
          <w:szCs w:val="32"/>
          <w:lang w:eastAsia="zh-CN"/>
        </w:rPr>
        <w:t>一</w:t>
      </w:r>
      <w:r>
        <w:rPr>
          <w:rFonts w:hint="eastAsia" w:ascii="黑体" w:hAnsi="黑体" w:eastAsia="黑体" w:cs="黑体"/>
          <w:b w:val="0"/>
          <w:bCs/>
          <w:sz w:val="32"/>
          <w:szCs w:val="32"/>
        </w:rPr>
        <w:t>、</w:t>
      </w:r>
      <w:r>
        <w:rPr>
          <w:rFonts w:hint="eastAsia" w:ascii="黑体" w:hAnsi="黑体" w:eastAsia="黑体" w:cs="方正清仿宋 简 Bold"/>
          <w:b w:val="0"/>
          <w:bCs/>
          <w:sz w:val="32"/>
          <w:szCs w:val="32"/>
        </w:rPr>
        <w:t>结束语</w:t>
      </w:r>
      <w:bookmarkEnd w:id="47"/>
    </w:p>
    <w:p>
      <w:pPr>
        <w:widowControl w:val="0"/>
        <w:wordWrap/>
        <w:adjustRightInd/>
        <w:snapToGrid/>
        <w:spacing w:line="590" w:lineRule="exact"/>
        <w:ind w:left="105" w:right="0"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为编写本报告，</w:t>
      </w:r>
      <w:r>
        <w:rPr>
          <w:rFonts w:hint="eastAsia" w:ascii="仿宋" w:hAnsi="仿宋" w:eastAsia="仿宋" w:cs="仿宋"/>
          <w:sz w:val="32"/>
          <w:szCs w:val="32"/>
          <w:lang w:eastAsia="zh-CN"/>
        </w:rPr>
        <w:t>我</w:t>
      </w:r>
      <w:r>
        <w:rPr>
          <w:rFonts w:hint="eastAsia" w:ascii="仿宋" w:hAnsi="仿宋" w:eastAsia="仿宋" w:cs="仿宋"/>
          <w:sz w:val="32"/>
          <w:szCs w:val="32"/>
        </w:rPr>
        <w:t>行成立了由董事长任组长、行长任副组长的环境信息披露工作领导小组，负责全行环境信息</w:t>
      </w:r>
      <w:r>
        <w:rPr>
          <w:rFonts w:hint="eastAsia" w:ascii="仿宋" w:hAnsi="仿宋" w:eastAsia="仿宋" w:cs="仿宋"/>
          <w:sz w:val="32"/>
          <w:szCs w:val="32"/>
          <w:lang w:eastAsia="zh-CN"/>
        </w:rPr>
        <w:t>披露</w:t>
      </w:r>
      <w:r>
        <w:rPr>
          <w:rFonts w:hint="eastAsia" w:ascii="仿宋" w:hAnsi="仿宋" w:eastAsia="仿宋" w:cs="仿宋"/>
          <w:sz w:val="32"/>
          <w:szCs w:val="32"/>
        </w:rPr>
        <w:t>工作的组织领导，领导小组办公室设在信贷管理部，负责牵头组织环境信息披露工作。在编写过程中，得到了</w:t>
      </w:r>
      <w:r>
        <w:rPr>
          <w:rFonts w:hint="eastAsia" w:ascii="仿宋" w:hAnsi="仿宋" w:eastAsia="仿宋" w:cs="仿宋"/>
          <w:sz w:val="32"/>
          <w:szCs w:val="32"/>
          <w:lang w:eastAsia="zh-CN"/>
        </w:rPr>
        <w:t>相关金融监督管理部门</w:t>
      </w:r>
      <w:r>
        <w:rPr>
          <w:rFonts w:hint="eastAsia" w:ascii="仿宋" w:hAnsi="仿宋" w:eastAsia="仿宋" w:cs="仿宋"/>
          <w:color w:val="000000"/>
          <w:sz w:val="32"/>
          <w:szCs w:val="32"/>
        </w:rPr>
        <w:t>的悉心指导，也得到了我行</w:t>
      </w:r>
      <w:r>
        <w:rPr>
          <w:rFonts w:hint="eastAsia" w:ascii="仿宋" w:hAnsi="仿宋" w:eastAsia="仿宋" w:cs="仿宋"/>
          <w:color w:val="000000"/>
          <w:sz w:val="32"/>
          <w:szCs w:val="32"/>
          <w:lang w:eastAsia="zh-CN"/>
        </w:rPr>
        <w:t>各部门</w:t>
      </w:r>
      <w:r>
        <w:rPr>
          <w:rFonts w:hint="eastAsia" w:ascii="仿宋" w:hAnsi="仿宋" w:eastAsia="仿宋" w:cs="仿宋"/>
          <w:color w:val="000000"/>
          <w:sz w:val="32"/>
          <w:szCs w:val="32"/>
        </w:rPr>
        <w:t>的大力</w:t>
      </w:r>
      <w:r>
        <w:rPr>
          <w:rFonts w:hint="eastAsia" w:ascii="仿宋" w:hAnsi="仿宋" w:eastAsia="仿宋" w:cs="仿宋"/>
          <w:sz w:val="32"/>
          <w:szCs w:val="32"/>
        </w:rPr>
        <w:t>支持和配合，对此谨表谢意。</w:t>
      </w:r>
    </w:p>
    <w:p>
      <w:pPr>
        <w:widowControl w:val="0"/>
        <w:wordWrap/>
        <w:adjustRightInd/>
        <w:snapToGrid/>
        <w:spacing w:line="590" w:lineRule="exact"/>
        <w:ind w:left="105"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由于</w:t>
      </w:r>
      <w:r>
        <w:rPr>
          <w:rFonts w:hint="eastAsia" w:ascii="仿宋" w:hAnsi="仿宋" w:eastAsia="仿宋" w:cs="仿宋"/>
          <w:sz w:val="32"/>
          <w:szCs w:val="32"/>
          <w:lang w:eastAsia="zh-CN"/>
        </w:rPr>
        <w:t>这是</w:t>
      </w:r>
      <w:r>
        <w:rPr>
          <w:rFonts w:hint="eastAsia" w:ascii="仿宋" w:hAnsi="仿宋" w:eastAsia="仿宋" w:cs="仿宋"/>
          <w:sz w:val="32"/>
          <w:szCs w:val="32"/>
        </w:rPr>
        <w:t>我行初次编写</w:t>
      </w:r>
      <w:r>
        <w:rPr>
          <w:rFonts w:hint="eastAsia" w:ascii="仿宋" w:hAnsi="仿宋" w:eastAsia="仿宋" w:cs="仿宋"/>
          <w:sz w:val="32"/>
          <w:szCs w:val="32"/>
          <w:lang w:eastAsia="zh-CN"/>
        </w:rPr>
        <w:t>环境信息披露</w:t>
      </w:r>
      <w:r>
        <w:rPr>
          <w:rFonts w:hint="eastAsia" w:ascii="仿宋" w:hAnsi="仿宋" w:eastAsia="仿宋" w:cs="仿宋"/>
          <w:sz w:val="32"/>
          <w:szCs w:val="32"/>
        </w:rPr>
        <w:t>本报告，缺乏相关经验，</w:t>
      </w:r>
      <w:r>
        <w:rPr>
          <w:rFonts w:hint="eastAsia" w:ascii="仿宋" w:hAnsi="仿宋" w:eastAsia="仿宋" w:cs="仿宋"/>
          <w:sz w:val="32"/>
          <w:szCs w:val="32"/>
          <w:lang w:eastAsia="zh-CN"/>
        </w:rPr>
        <w:t>也</w:t>
      </w:r>
      <w:r>
        <w:rPr>
          <w:rFonts w:hint="eastAsia" w:ascii="仿宋" w:hAnsi="仿宋" w:eastAsia="仿宋" w:cs="仿宋"/>
          <w:sz w:val="32"/>
          <w:szCs w:val="32"/>
        </w:rPr>
        <w:t>缺乏部分基础性数据支撑，本报告部分内容</w:t>
      </w:r>
      <w:r>
        <w:rPr>
          <w:rFonts w:hint="eastAsia" w:ascii="仿宋" w:hAnsi="仿宋" w:eastAsia="仿宋" w:cs="仿宋"/>
          <w:sz w:val="32"/>
          <w:szCs w:val="32"/>
          <w:lang w:eastAsia="zh-CN"/>
        </w:rPr>
        <w:t>难免</w:t>
      </w:r>
      <w:r>
        <w:rPr>
          <w:rFonts w:hint="eastAsia" w:ascii="仿宋" w:hAnsi="仿宋" w:eastAsia="仿宋" w:cs="仿宋"/>
          <w:sz w:val="32"/>
          <w:szCs w:val="32"/>
        </w:rPr>
        <w:t>存在不足，欢迎各界批评指正。我行绿色金融发展处于起步阶段，绿色金融制度</w:t>
      </w:r>
      <w:r>
        <w:rPr>
          <w:rFonts w:hint="eastAsia" w:ascii="仿宋" w:hAnsi="仿宋" w:eastAsia="仿宋" w:cs="仿宋"/>
          <w:sz w:val="32"/>
          <w:szCs w:val="32"/>
          <w:lang w:eastAsia="zh-CN"/>
        </w:rPr>
        <w:t>、</w:t>
      </w:r>
      <w:r>
        <w:rPr>
          <w:rFonts w:hint="eastAsia" w:ascii="仿宋" w:hAnsi="仿宋" w:eastAsia="仿宋" w:cs="仿宋"/>
          <w:sz w:val="32"/>
          <w:szCs w:val="32"/>
        </w:rPr>
        <w:t>产品、服务等体系仍需完善，与</w:t>
      </w:r>
      <w:r>
        <w:rPr>
          <w:rFonts w:hint="eastAsia" w:ascii="仿宋" w:hAnsi="仿宋" w:eastAsia="仿宋" w:cs="仿宋"/>
          <w:sz w:val="32"/>
          <w:szCs w:val="32"/>
          <w:lang w:eastAsia="zh-CN"/>
        </w:rPr>
        <w:t>金融监管管理</w:t>
      </w:r>
      <w:r>
        <w:rPr>
          <w:rFonts w:hint="eastAsia" w:ascii="仿宋" w:hAnsi="仿宋" w:eastAsia="仿宋" w:cs="仿宋"/>
          <w:sz w:val="32"/>
          <w:szCs w:val="32"/>
        </w:rPr>
        <w:t>部门的</w:t>
      </w:r>
      <w:r>
        <w:rPr>
          <w:rFonts w:ascii="仿宋" w:hAnsi="仿宋" w:eastAsia="仿宋" w:cs="仿宋"/>
          <w:sz w:val="32"/>
          <w:szCs w:val="32"/>
        </w:rPr>
        <w:t>要求</w:t>
      </w:r>
      <w:r>
        <w:rPr>
          <w:rFonts w:hint="eastAsia" w:ascii="仿宋" w:hAnsi="仿宋" w:eastAsia="仿宋" w:cs="仿宋"/>
          <w:sz w:val="32"/>
          <w:szCs w:val="32"/>
        </w:rPr>
        <w:t>和社会公众的期待尚有一定差距。未来，作为一家负责任的地方法人银行，我</w:t>
      </w:r>
      <w:r>
        <w:rPr>
          <w:rFonts w:ascii="仿宋" w:hAnsi="仿宋" w:eastAsia="仿宋" w:cs="仿宋"/>
          <w:sz w:val="32"/>
          <w:szCs w:val="32"/>
        </w:rPr>
        <w:t>行</w:t>
      </w:r>
      <w:r>
        <w:rPr>
          <w:rFonts w:hint="eastAsia" w:ascii="仿宋" w:hAnsi="仿宋" w:eastAsia="仿宋" w:cs="仿宋"/>
          <w:sz w:val="32"/>
          <w:szCs w:val="32"/>
        </w:rPr>
        <w:t>将进一步贯彻落实好新发展理念和生态文明建设各项要求，全力发展绿色金融</w:t>
      </w:r>
      <w:r>
        <w:rPr>
          <w:rFonts w:hint="eastAsia" w:ascii="仿宋" w:hAnsi="仿宋" w:eastAsia="仿宋" w:cs="仿宋"/>
          <w:sz w:val="32"/>
          <w:szCs w:val="32"/>
          <w:lang w:eastAsia="zh-CN"/>
        </w:rPr>
        <w:t>，为“双碳目标”的实现贡献力量</w:t>
      </w:r>
      <w:r>
        <w:rPr>
          <w:rFonts w:hint="eastAsia" w:ascii="仿宋" w:hAnsi="仿宋" w:eastAsia="仿宋" w:cs="仿宋"/>
          <w:sz w:val="32"/>
          <w:szCs w:val="32"/>
        </w:rPr>
        <w:t>。</w:t>
      </w:r>
    </w:p>
    <w:p>
      <w:pPr>
        <w:widowControl w:val="0"/>
        <w:wordWrap/>
        <w:adjustRightInd/>
        <w:snapToGrid/>
        <w:spacing w:line="590" w:lineRule="exact"/>
        <w:ind w:right="0"/>
        <w:jc w:val="both"/>
        <w:textAlignment w:val="auto"/>
        <w:outlineLvl w:val="9"/>
        <w:rPr>
          <w:rFonts w:hint="eastAsia" w:ascii="仿宋" w:hAnsi="仿宋" w:eastAsia="仿宋" w:cs="仿宋"/>
          <w:b/>
          <w:bCs/>
          <w:sz w:val="32"/>
          <w:szCs w:val="32"/>
        </w:rPr>
      </w:pPr>
    </w:p>
    <w:p>
      <w:pPr>
        <w:widowControl w:val="0"/>
        <w:wordWrap/>
        <w:adjustRightInd/>
        <w:snapToGrid/>
        <w:spacing w:line="590" w:lineRule="exact"/>
        <w:ind w:right="0"/>
        <w:jc w:val="both"/>
        <w:textAlignment w:val="auto"/>
        <w:outlineLvl w:val="9"/>
        <w:rPr>
          <w:rFonts w:hint="eastAsia" w:ascii="仿宋" w:hAnsi="仿宋" w:eastAsia="仿宋" w:cs="仿宋"/>
          <w:b/>
          <w:bCs/>
          <w:sz w:val="32"/>
          <w:szCs w:val="32"/>
        </w:rPr>
      </w:pPr>
    </w:p>
    <w:p>
      <w:pPr>
        <w:widowControl w:val="0"/>
        <w:wordWrap/>
        <w:adjustRightInd/>
        <w:snapToGrid/>
        <w:spacing w:line="590" w:lineRule="exact"/>
        <w:ind w:right="0" w:firstLine="643" w:firstLineChars="200"/>
        <w:jc w:val="both"/>
        <w:textAlignment w:val="auto"/>
        <w:outlineLvl w:val="9"/>
        <w:rPr>
          <w:rFonts w:ascii="仿宋" w:hAnsi="仿宋" w:eastAsia="仿宋" w:cs="仿宋"/>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绵阳市涪城区临园路西段文竹街3号</w:t>
      </w:r>
    </w:p>
    <w:p>
      <w:pPr>
        <w:widowControl w:val="0"/>
        <w:wordWrap/>
        <w:adjustRightInd/>
        <w:snapToGrid/>
        <w:spacing w:line="590" w:lineRule="exact"/>
        <w:ind w:right="0" w:firstLine="643" w:firstLineChars="200"/>
        <w:jc w:val="both"/>
        <w:textAlignment w:val="auto"/>
        <w:outlineLvl w:val="9"/>
        <w:rPr>
          <w:rFonts w:ascii="仿宋" w:hAnsi="仿宋" w:eastAsia="仿宋" w:cs="仿宋"/>
          <w:sz w:val="32"/>
          <w:szCs w:val="32"/>
        </w:rPr>
      </w:pPr>
      <w:r>
        <w:rPr>
          <w:rFonts w:hint="eastAsia" w:ascii="仿宋" w:hAnsi="仿宋" w:eastAsia="仿宋" w:cs="仿宋"/>
          <w:b/>
          <w:bCs/>
          <w:sz w:val="32"/>
          <w:szCs w:val="32"/>
        </w:rPr>
        <w:t>邮编：</w:t>
      </w:r>
      <w:r>
        <w:rPr>
          <w:rFonts w:hint="eastAsia" w:ascii="仿宋" w:hAnsi="仿宋" w:eastAsia="仿宋" w:cs="仿宋"/>
          <w:sz w:val="32"/>
          <w:szCs w:val="32"/>
        </w:rPr>
        <w:t>621000</w:t>
      </w:r>
    </w:p>
    <w:p>
      <w:pPr>
        <w:widowControl w:val="0"/>
        <w:wordWrap/>
        <w:adjustRightInd/>
        <w:snapToGrid/>
        <w:spacing w:line="590" w:lineRule="exact"/>
        <w:ind w:right="0" w:firstLine="643"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b/>
          <w:sz w:val="32"/>
          <w:szCs w:val="32"/>
        </w:rPr>
        <w:t>联系人</w:t>
      </w:r>
      <w:r>
        <w:rPr>
          <w:rFonts w:ascii="仿宋" w:hAnsi="仿宋" w:eastAsia="仿宋" w:cs="仿宋"/>
          <w:b/>
          <w:sz w:val="32"/>
          <w:szCs w:val="32"/>
        </w:rPr>
        <w:t>：</w:t>
      </w:r>
      <w:r>
        <w:rPr>
          <w:rFonts w:ascii="仿宋" w:hAnsi="仿宋" w:eastAsia="仿宋" w:cs="仿宋"/>
          <w:sz w:val="32"/>
          <w:szCs w:val="32"/>
        </w:rPr>
        <w:t>李</w:t>
      </w:r>
      <w:r>
        <w:rPr>
          <w:rFonts w:hint="eastAsia" w:ascii="仿宋" w:hAnsi="仿宋" w:eastAsia="仿宋" w:cs="仿宋"/>
          <w:sz w:val="32"/>
          <w:szCs w:val="32"/>
          <w:lang w:eastAsia="zh-CN"/>
        </w:rPr>
        <w:t>玥</w:t>
      </w:r>
    </w:p>
    <w:p>
      <w:pPr>
        <w:widowControl w:val="0"/>
        <w:wordWrap/>
        <w:adjustRightInd/>
        <w:snapToGrid/>
        <w:spacing w:line="590" w:lineRule="exact"/>
        <w:ind w:right="0" w:firstLine="643" w:firstLineChars="200"/>
        <w:jc w:val="both"/>
        <w:textAlignment w:val="auto"/>
        <w:outlineLvl w:val="9"/>
        <w:rPr>
          <w:rFonts w:ascii="仿宋" w:hAnsi="仿宋" w:eastAsia="仿宋" w:cs="仿宋"/>
          <w:color w:val="000000"/>
          <w:sz w:val="32"/>
          <w:szCs w:val="32"/>
        </w:rPr>
      </w:pPr>
      <w:r>
        <w:rPr>
          <w:rFonts w:hint="eastAsia" w:ascii="仿宋" w:hAnsi="仿宋" w:eastAsia="仿宋" w:cs="仿宋"/>
          <w:b/>
          <w:bCs/>
          <w:color w:val="000000"/>
          <w:sz w:val="32"/>
          <w:szCs w:val="32"/>
        </w:rPr>
        <w:t>电话：</w:t>
      </w:r>
      <w:r>
        <w:rPr>
          <w:rFonts w:hint="eastAsia" w:ascii="仿宋" w:hAnsi="仿宋" w:eastAsia="仿宋" w:cs="仿宋"/>
          <w:color w:val="000000"/>
          <w:sz w:val="32"/>
          <w:szCs w:val="32"/>
        </w:rPr>
        <w:t>08162740118</w:t>
      </w:r>
    </w:p>
    <w:p>
      <w:pPr>
        <w:widowControl w:val="0"/>
        <w:wordWrap/>
        <w:adjustRightInd/>
        <w:snapToGrid/>
        <w:spacing w:line="590" w:lineRule="exact"/>
        <w:ind w:right="0" w:firstLine="643" w:firstLineChars="200"/>
        <w:jc w:val="both"/>
        <w:textAlignment w:val="auto"/>
        <w:outlineLvl w:val="9"/>
        <w:rPr>
          <w:rStyle w:val="14"/>
          <w:rFonts w:hint="eastAsia" w:ascii="仿宋" w:hAnsi="仿宋" w:eastAsia="仿宋" w:cs="仿宋"/>
          <w:color w:val="000000"/>
          <w:sz w:val="32"/>
          <w:szCs w:val="32"/>
          <w:u w:val="none"/>
        </w:rPr>
      </w:pPr>
      <w:r>
        <w:rPr>
          <w:rFonts w:hint="eastAsia" w:ascii="仿宋" w:hAnsi="仿宋" w:eastAsia="仿宋" w:cs="仿宋"/>
          <w:b/>
          <w:bCs/>
          <w:sz w:val="32"/>
          <w:szCs w:val="32"/>
        </w:rPr>
        <w:t>网址：</w:t>
      </w:r>
      <w:r>
        <w:rPr>
          <w:rFonts w:hint="eastAsia" w:ascii="仿宋" w:hAnsi="仿宋" w:eastAsia="仿宋" w:cs="仿宋"/>
          <w:sz w:val="32"/>
          <w:szCs w:val="32"/>
        </w:rPr>
        <w:t>https://www.mycc-bank.com</w:t>
      </w:r>
    </w:p>
    <w:p>
      <w:pPr>
        <w:widowControl w:val="0"/>
        <w:wordWrap/>
        <w:adjustRightInd/>
        <w:snapToGrid/>
        <w:spacing w:line="590" w:lineRule="exact"/>
        <w:ind w:right="0"/>
        <w:jc w:val="both"/>
        <w:textAlignment w:val="auto"/>
        <w:outlineLvl w:val="9"/>
        <w:rPr>
          <w:rStyle w:val="14"/>
          <w:rFonts w:hint="eastAsia" w:ascii="仿宋" w:hAnsi="仿宋" w:eastAsia="仿宋" w:cs="仿宋"/>
          <w:color w:val="000000"/>
          <w:sz w:val="32"/>
          <w:szCs w:val="32"/>
          <w:u w:val="none"/>
        </w:rPr>
      </w:pPr>
    </w:p>
    <w:p>
      <w:pPr>
        <w:pStyle w:val="9"/>
        <w:wordWrap/>
        <w:adjustRightInd/>
        <w:snapToGrid/>
        <w:spacing w:before="0" w:beforeAutospacing="0" w:after="0" w:afterAutospacing="0" w:line="590" w:lineRule="exact"/>
        <w:ind w:left="0" w:leftChars="0" w:right="0" w:firstLine="640" w:firstLineChars="200"/>
        <w:jc w:val="both"/>
        <w:textAlignment w:val="auto"/>
        <w:rPr>
          <w:rFonts w:ascii="仿宋" w:hAnsi="仿宋" w:eastAsia="仿宋" w:cs="仿宋"/>
          <w:color w:val="FF0000"/>
          <w:sz w:val="32"/>
          <w:szCs w:val="32"/>
        </w:rPr>
      </w:pPr>
    </w:p>
    <w:p>
      <w:pPr>
        <w:widowControl w:val="0"/>
        <w:wordWrap/>
        <w:adjustRightInd/>
        <w:snapToGrid/>
        <w:spacing w:line="590" w:lineRule="exact"/>
        <w:ind w:left="0" w:leftChars="0" w:right="0" w:firstLine="704" w:firstLineChars="220"/>
        <w:jc w:val="both"/>
        <w:textAlignment w:val="auto"/>
        <w:outlineLvl w:val="9"/>
        <w:rPr>
          <w:rStyle w:val="14"/>
          <w:rFonts w:hint="eastAsia" w:ascii="仿宋" w:hAnsi="仿宋" w:eastAsia="仿宋" w:cs="仿宋"/>
          <w:color w:val="000000"/>
          <w:sz w:val="32"/>
          <w:szCs w:val="32"/>
          <w:u w:val="none"/>
        </w:rPr>
      </w:pPr>
    </w:p>
    <w:sectPr>
      <w:pgSz w:w="11906" w:h="16838"/>
      <w:pgMar w:top="2098" w:right="1531" w:bottom="1701" w:left="1531" w:header="851" w:footer="992" w:gutter="0"/>
      <w:pgBorders>
        <w:top w:val="none" w:sz="0" w:space="0"/>
        <w:left w:val="none" w:sz="0" w:space="0"/>
        <w:bottom w:val="none" w:sz="0" w:space="0"/>
        <w:right w:val="none" w:sz="0" w:space="0"/>
      </w:pgBorders>
      <w:pgNumType w:fmt="decimal"/>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清仿宋 简 Bold">
    <w:altName w:val="仿宋"/>
    <w:panose1 w:val="00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PMingLiU">
    <w:panose1 w:val="02020500000000000000"/>
    <w:charset w:val="88"/>
    <w:family w:val="auto"/>
    <w:pitch w:val="default"/>
    <w:sig w:usb0="A00002FF" w:usb1="28CFFCFA" w:usb2="00000016" w:usb3="00000000" w:csb0="0010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Calibri" w:hAnsi="Calibri" w:eastAsia="宋体" w:cs="黑体"/>
        <w:kern w:val="2"/>
        <w:sz w:val="18"/>
        <w:szCs w:val="18"/>
        <w:lang w:val="en-US" w:eastAsia="zh-CN" w:bidi="ar-SA"/>
      </w:rPr>
      <w:pict>
        <v:rect id="文本框 12" o:spid="_x0000_s4097"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pStyle w:val="16"/>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8"/>
      <w:suff w:val="nothing"/>
      <w:lvlText w:val="%1.%2　"/>
      <w:lvlJc w:val="left"/>
      <w:pPr>
        <w:ind w:left="2340" w:firstLine="0"/>
      </w:pPr>
      <w:rPr>
        <w:rFonts w:hint="eastAsia" w:ascii="黑体" w:hAnsi="Times New Roman" w:eastAsia="黑体" w:cs="Times New Roman"/>
        <w:b w:val="0"/>
        <w:bCs w:val="0"/>
        <w:i w:val="0"/>
        <w:iCs w:val="0"/>
        <w:caps w:val="0"/>
        <w:strike w:val="0"/>
        <w:dstrike w:val="0"/>
        <w:spacing w:val="0"/>
        <w:kern w:val="0"/>
        <w:position w:val="0"/>
        <w:sz w:val="21"/>
        <w:szCs w:val="21"/>
        <w:u w:val="none"/>
      </w:rPr>
    </w:lvl>
    <w:lvl w:ilvl="2" w:tentative="0">
      <w:start w:val="1"/>
      <w:numFmt w:val="decimal"/>
      <w:pStyle w:val="20"/>
      <w:suff w:val="nothing"/>
      <w:lvlText w:val="%1.%2.%3　"/>
      <w:lvlJc w:val="left"/>
      <w:pPr>
        <w:ind w:left="3828" w:firstLine="0"/>
      </w:pPr>
      <w:rPr>
        <w:rFonts w:hint="eastAsia" w:ascii="黑体" w:hAnsi="Times New Roman" w:eastAsia="黑体"/>
        <w:b w:val="0"/>
        <w:i w:val="0"/>
        <w:sz w:val="21"/>
        <w:lang w:eastAsia="zh-TW"/>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48842BA4"/>
    <w:multiLevelType w:val="multilevel"/>
    <w:tmpl w:val="48842BA4"/>
    <w:lvl w:ilvl="0" w:tentative="0">
      <w:start w:val="1"/>
      <w:numFmt w:val="chineseCountingThousand"/>
      <w:pStyle w:val="24"/>
      <w:suff w:val="space"/>
      <w:lvlText w:val="第%1章"/>
      <w:lvlJc w:val="left"/>
      <w:pPr>
        <w:ind w:left="0" w:firstLine="0"/>
      </w:pPr>
      <w:rPr>
        <w:rFonts w:hint="eastAsia" w:ascii="黑体" w:hAnsi="黑体" w:eastAsia="黑体" w:cs="Times New Roman"/>
        <w:b w:val="0"/>
        <w:bCs w:val="0"/>
        <w:i w:val="0"/>
        <w:iCs w:val="0"/>
        <w:caps w:val="0"/>
        <w:smallCaps w:val="0"/>
        <w:strike w:val="0"/>
        <w:dstrike w:val="0"/>
        <w:color w:val="auto"/>
        <w:spacing w:val="0"/>
        <w:position w:val="0"/>
        <w:sz w:val="32"/>
        <w:szCs w:val="32"/>
        <w:u w:val="none"/>
      </w:rPr>
    </w:lvl>
    <w:lvl w:ilvl="1" w:tentative="0">
      <w:start w:val="1"/>
      <w:numFmt w:val="chineseCountingThousand"/>
      <w:suff w:val="space"/>
      <w:lvlText w:val="第%2节"/>
      <w:lvlJc w:val="left"/>
      <w:pPr>
        <w:ind w:left="0" w:firstLine="0"/>
      </w:pPr>
      <w:rPr>
        <w:rFonts w:hint="eastAsia"/>
        <w:b/>
        <w:i w:val="0"/>
      </w:rPr>
    </w:lvl>
    <w:lvl w:ilvl="2" w:tentative="0">
      <w:start w:val="1"/>
      <w:numFmt w:val="chineseCountingThousand"/>
      <w:lvlRestart w:val="0"/>
      <w:pStyle w:val="23"/>
      <w:suff w:val="space"/>
      <w:lvlText w:val="第%3条"/>
      <w:lvlJc w:val="left"/>
      <w:pPr>
        <w:ind w:left="0" w:firstLine="0"/>
      </w:pPr>
      <w:rPr>
        <w:rFonts w:hint="eastAsia" w:ascii="仿宋" w:hAnsi="仿宋" w:eastAsia="仿宋" w:cs="Times New Roman"/>
        <w:b/>
        <w:bCs w:val="0"/>
        <w:i w:val="0"/>
        <w:iCs w:val="0"/>
        <w:caps w:val="0"/>
        <w:smallCaps w:val="0"/>
        <w:strike w:val="0"/>
        <w:dstrike w:val="0"/>
        <w:snapToGrid w:val="0"/>
        <w:color w:val="000000"/>
        <w:spacing w:val="0"/>
        <w:w w:val="0"/>
        <w:kern w:val="0"/>
        <w:position w:val="0"/>
        <w:szCs w:val="16"/>
        <w:u w:val="none"/>
      </w:rPr>
    </w:lvl>
    <w:lvl w:ilvl="3" w:tentative="0">
      <w:start w:val="1"/>
      <w:numFmt w:val="chineseCountingThousand"/>
      <w:pStyle w:val="27"/>
      <w:suff w:val="nothing"/>
      <w:lvlText w:val="（%4）"/>
      <w:lvlJc w:val="left"/>
      <w:pPr>
        <w:ind w:left="0" w:firstLine="0"/>
      </w:pPr>
      <w:rPr>
        <w:rFonts w:hint="eastAsia"/>
        <w:b w:val="0"/>
      </w:rPr>
    </w:lvl>
    <w:lvl w:ilvl="4" w:tentative="0">
      <w:start w:val="1"/>
      <w:numFmt w:val="decimal"/>
      <w:suff w:val="nothing"/>
      <w:lvlText w:val=" %5."/>
      <w:lvlJc w:val="left"/>
      <w:pPr>
        <w:ind w:left="0" w:firstLine="0"/>
      </w:pPr>
      <w:rPr>
        <w:rFonts w:hint="eastAsia"/>
        <w:b w:val="0"/>
        <w:i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78777DD5"/>
    <w:multiLevelType w:val="singleLevel"/>
    <w:tmpl w:val="78777DD5"/>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C2545B"/>
    <w:rsid w:val="00033445"/>
    <w:rsid w:val="000449AE"/>
    <w:rsid w:val="00057837"/>
    <w:rsid w:val="000C5706"/>
    <w:rsid w:val="000E0EFE"/>
    <w:rsid w:val="00133E37"/>
    <w:rsid w:val="00140E2B"/>
    <w:rsid w:val="00173024"/>
    <w:rsid w:val="00190C48"/>
    <w:rsid w:val="001C51E2"/>
    <w:rsid w:val="00250E9A"/>
    <w:rsid w:val="002D71D7"/>
    <w:rsid w:val="00300AD2"/>
    <w:rsid w:val="00327FC5"/>
    <w:rsid w:val="003565A4"/>
    <w:rsid w:val="003A6E7E"/>
    <w:rsid w:val="003D5BA2"/>
    <w:rsid w:val="004F04E5"/>
    <w:rsid w:val="005760ED"/>
    <w:rsid w:val="006954BB"/>
    <w:rsid w:val="007F5EFD"/>
    <w:rsid w:val="008473D1"/>
    <w:rsid w:val="00853602"/>
    <w:rsid w:val="00861532"/>
    <w:rsid w:val="00864E51"/>
    <w:rsid w:val="008B69B1"/>
    <w:rsid w:val="008E4B2F"/>
    <w:rsid w:val="009247F3"/>
    <w:rsid w:val="009A61A6"/>
    <w:rsid w:val="00C2545B"/>
    <w:rsid w:val="00C829F9"/>
    <w:rsid w:val="00C87B53"/>
    <w:rsid w:val="00D157E8"/>
    <w:rsid w:val="00D30D81"/>
    <w:rsid w:val="00D82599"/>
    <w:rsid w:val="00E25701"/>
    <w:rsid w:val="00E25A95"/>
    <w:rsid w:val="00E876A7"/>
    <w:rsid w:val="00EC7318"/>
    <w:rsid w:val="00F3381E"/>
    <w:rsid w:val="012233A6"/>
    <w:rsid w:val="01BB5A85"/>
    <w:rsid w:val="01E51A99"/>
    <w:rsid w:val="020409D9"/>
    <w:rsid w:val="027346A7"/>
    <w:rsid w:val="02E95161"/>
    <w:rsid w:val="02F871D6"/>
    <w:rsid w:val="03F92E47"/>
    <w:rsid w:val="044931AC"/>
    <w:rsid w:val="056054E0"/>
    <w:rsid w:val="05FB3D03"/>
    <w:rsid w:val="06AE0E82"/>
    <w:rsid w:val="07C3370C"/>
    <w:rsid w:val="08AB795D"/>
    <w:rsid w:val="096B029A"/>
    <w:rsid w:val="0A446C51"/>
    <w:rsid w:val="0A4A59AD"/>
    <w:rsid w:val="0B6627D3"/>
    <w:rsid w:val="0B6725E4"/>
    <w:rsid w:val="0B73108F"/>
    <w:rsid w:val="0B7A2F43"/>
    <w:rsid w:val="0B81326B"/>
    <w:rsid w:val="0B885D22"/>
    <w:rsid w:val="0BE32845"/>
    <w:rsid w:val="0C3F35F0"/>
    <w:rsid w:val="0CD96E66"/>
    <w:rsid w:val="0DD33D32"/>
    <w:rsid w:val="0E463777"/>
    <w:rsid w:val="0E6530E4"/>
    <w:rsid w:val="0E7D54E8"/>
    <w:rsid w:val="0E9A2BB0"/>
    <w:rsid w:val="0EB47138"/>
    <w:rsid w:val="0EE32E64"/>
    <w:rsid w:val="0F5971CA"/>
    <w:rsid w:val="0F62228E"/>
    <w:rsid w:val="0F691F79"/>
    <w:rsid w:val="0FA80336"/>
    <w:rsid w:val="0FC03E12"/>
    <w:rsid w:val="0FD56BA3"/>
    <w:rsid w:val="106A0D9A"/>
    <w:rsid w:val="113D46B7"/>
    <w:rsid w:val="118260FF"/>
    <w:rsid w:val="1223393A"/>
    <w:rsid w:val="12812056"/>
    <w:rsid w:val="12A24848"/>
    <w:rsid w:val="12EF3F5E"/>
    <w:rsid w:val="14FB6346"/>
    <w:rsid w:val="15251C45"/>
    <w:rsid w:val="162D4F6E"/>
    <w:rsid w:val="166C063E"/>
    <w:rsid w:val="16D735B1"/>
    <w:rsid w:val="17907F20"/>
    <w:rsid w:val="17A07380"/>
    <w:rsid w:val="1A3D08E4"/>
    <w:rsid w:val="1B08224E"/>
    <w:rsid w:val="1B146E35"/>
    <w:rsid w:val="1B741597"/>
    <w:rsid w:val="1C823D7B"/>
    <w:rsid w:val="1CD41CB2"/>
    <w:rsid w:val="1F143D11"/>
    <w:rsid w:val="1F506BD8"/>
    <w:rsid w:val="1F624D86"/>
    <w:rsid w:val="1FBA640B"/>
    <w:rsid w:val="1FF45816"/>
    <w:rsid w:val="20522953"/>
    <w:rsid w:val="21380DE0"/>
    <w:rsid w:val="21D75529"/>
    <w:rsid w:val="22252527"/>
    <w:rsid w:val="226F1E1D"/>
    <w:rsid w:val="2283409F"/>
    <w:rsid w:val="238A7C2A"/>
    <w:rsid w:val="23CD41A5"/>
    <w:rsid w:val="24221070"/>
    <w:rsid w:val="24342C66"/>
    <w:rsid w:val="24501510"/>
    <w:rsid w:val="24B91579"/>
    <w:rsid w:val="24C56AFB"/>
    <w:rsid w:val="24E47F23"/>
    <w:rsid w:val="25875C6C"/>
    <w:rsid w:val="259542A9"/>
    <w:rsid w:val="260315B8"/>
    <w:rsid w:val="2655546A"/>
    <w:rsid w:val="26F30A87"/>
    <w:rsid w:val="27026C58"/>
    <w:rsid w:val="28313339"/>
    <w:rsid w:val="283254A1"/>
    <w:rsid w:val="28813DD0"/>
    <w:rsid w:val="28F269DF"/>
    <w:rsid w:val="29D0335E"/>
    <w:rsid w:val="29D17005"/>
    <w:rsid w:val="29EB1201"/>
    <w:rsid w:val="2A682203"/>
    <w:rsid w:val="2B006388"/>
    <w:rsid w:val="2B0C1278"/>
    <w:rsid w:val="2C2663B7"/>
    <w:rsid w:val="2C7C340F"/>
    <w:rsid w:val="2DBF0500"/>
    <w:rsid w:val="2E282D27"/>
    <w:rsid w:val="2E2A74DF"/>
    <w:rsid w:val="2E377271"/>
    <w:rsid w:val="2EC252FF"/>
    <w:rsid w:val="2F0672B1"/>
    <w:rsid w:val="2F175943"/>
    <w:rsid w:val="2F9F527C"/>
    <w:rsid w:val="2FAB612E"/>
    <w:rsid w:val="2FEF0602"/>
    <w:rsid w:val="30BC5F72"/>
    <w:rsid w:val="318536D3"/>
    <w:rsid w:val="31B431A2"/>
    <w:rsid w:val="322F5457"/>
    <w:rsid w:val="32D5048E"/>
    <w:rsid w:val="32D7796B"/>
    <w:rsid w:val="32EB4EE2"/>
    <w:rsid w:val="33C6407C"/>
    <w:rsid w:val="33F84AC4"/>
    <w:rsid w:val="345F1E49"/>
    <w:rsid w:val="34DE271E"/>
    <w:rsid w:val="35922532"/>
    <w:rsid w:val="368215ED"/>
    <w:rsid w:val="36C3511B"/>
    <w:rsid w:val="38C20C9C"/>
    <w:rsid w:val="38C8060E"/>
    <w:rsid w:val="394021A8"/>
    <w:rsid w:val="39B30C68"/>
    <w:rsid w:val="3A00617B"/>
    <w:rsid w:val="3A730E89"/>
    <w:rsid w:val="3CC479FB"/>
    <w:rsid w:val="3EBA2645"/>
    <w:rsid w:val="3F3B2254"/>
    <w:rsid w:val="3F79044B"/>
    <w:rsid w:val="3F80565C"/>
    <w:rsid w:val="409B77AE"/>
    <w:rsid w:val="40A90086"/>
    <w:rsid w:val="41604455"/>
    <w:rsid w:val="42072045"/>
    <w:rsid w:val="4334730F"/>
    <w:rsid w:val="44103FA8"/>
    <w:rsid w:val="444B338F"/>
    <w:rsid w:val="447416BF"/>
    <w:rsid w:val="44E5298C"/>
    <w:rsid w:val="453572E4"/>
    <w:rsid w:val="45564AF3"/>
    <w:rsid w:val="4749000F"/>
    <w:rsid w:val="47CA1808"/>
    <w:rsid w:val="486508D7"/>
    <w:rsid w:val="48867D05"/>
    <w:rsid w:val="48AF2557"/>
    <w:rsid w:val="48D65E75"/>
    <w:rsid w:val="499F3BD6"/>
    <w:rsid w:val="4A1E6E00"/>
    <w:rsid w:val="4ABE2580"/>
    <w:rsid w:val="4AE07AF4"/>
    <w:rsid w:val="4B2371B3"/>
    <w:rsid w:val="4B8E512A"/>
    <w:rsid w:val="4C913453"/>
    <w:rsid w:val="4CEB7AEB"/>
    <w:rsid w:val="4D0A2CB4"/>
    <w:rsid w:val="4D1A4BF8"/>
    <w:rsid w:val="4D335F8F"/>
    <w:rsid w:val="4D6A66FA"/>
    <w:rsid w:val="4D852C2D"/>
    <w:rsid w:val="4DA8605D"/>
    <w:rsid w:val="4E316387"/>
    <w:rsid w:val="4EA03FC8"/>
    <w:rsid w:val="4F435ADD"/>
    <w:rsid w:val="50002FB0"/>
    <w:rsid w:val="516142BE"/>
    <w:rsid w:val="51A32117"/>
    <w:rsid w:val="524D0004"/>
    <w:rsid w:val="525A413A"/>
    <w:rsid w:val="52A90A8C"/>
    <w:rsid w:val="539F2B9B"/>
    <w:rsid w:val="53DE5D39"/>
    <w:rsid w:val="5484107B"/>
    <w:rsid w:val="54A517E7"/>
    <w:rsid w:val="558D2A05"/>
    <w:rsid w:val="55B654A6"/>
    <w:rsid w:val="56D81665"/>
    <w:rsid w:val="571F3EDC"/>
    <w:rsid w:val="57480A0B"/>
    <w:rsid w:val="57AA6049"/>
    <w:rsid w:val="57DC057C"/>
    <w:rsid w:val="586D14B3"/>
    <w:rsid w:val="58723CF2"/>
    <w:rsid w:val="587B23D6"/>
    <w:rsid w:val="59117C50"/>
    <w:rsid w:val="591A2B6F"/>
    <w:rsid w:val="59865703"/>
    <w:rsid w:val="5A3B43AE"/>
    <w:rsid w:val="5AAA024E"/>
    <w:rsid w:val="5BF30673"/>
    <w:rsid w:val="5C24283F"/>
    <w:rsid w:val="5C347AC8"/>
    <w:rsid w:val="5C81496B"/>
    <w:rsid w:val="5CE50843"/>
    <w:rsid w:val="5D341FA4"/>
    <w:rsid w:val="5DA45D4F"/>
    <w:rsid w:val="5E48093D"/>
    <w:rsid w:val="5E8B51CB"/>
    <w:rsid w:val="5E971923"/>
    <w:rsid w:val="5E9E758C"/>
    <w:rsid w:val="5ECC3F0A"/>
    <w:rsid w:val="5F964671"/>
    <w:rsid w:val="5FF54DC2"/>
    <w:rsid w:val="60285EFA"/>
    <w:rsid w:val="60DD4CA8"/>
    <w:rsid w:val="61082875"/>
    <w:rsid w:val="61681EC7"/>
    <w:rsid w:val="61832C16"/>
    <w:rsid w:val="621A3248"/>
    <w:rsid w:val="6263550B"/>
    <w:rsid w:val="62F32ADA"/>
    <w:rsid w:val="634754CE"/>
    <w:rsid w:val="636875DC"/>
    <w:rsid w:val="63A55EE5"/>
    <w:rsid w:val="63D17D02"/>
    <w:rsid w:val="63E1145C"/>
    <w:rsid w:val="642B7D98"/>
    <w:rsid w:val="64555809"/>
    <w:rsid w:val="652324AC"/>
    <w:rsid w:val="6524256C"/>
    <w:rsid w:val="656D4594"/>
    <w:rsid w:val="657D3692"/>
    <w:rsid w:val="65883775"/>
    <w:rsid w:val="66086B8F"/>
    <w:rsid w:val="66392210"/>
    <w:rsid w:val="66EF7985"/>
    <w:rsid w:val="679F6E38"/>
    <w:rsid w:val="67ED25B4"/>
    <w:rsid w:val="6899603A"/>
    <w:rsid w:val="68C84427"/>
    <w:rsid w:val="690951F4"/>
    <w:rsid w:val="69A15C89"/>
    <w:rsid w:val="6B850D61"/>
    <w:rsid w:val="6CC51354"/>
    <w:rsid w:val="6CD8345E"/>
    <w:rsid w:val="6CD95CCB"/>
    <w:rsid w:val="6D2436D2"/>
    <w:rsid w:val="6E0C37DC"/>
    <w:rsid w:val="6E1529EF"/>
    <w:rsid w:val="6E771411"/>
    <w:rsid w:val="6F1A0E64"/>
    <w:rsid w:val="704307D3"/>
    <w:rsid w:val="707E14CA"/>
    <w:rsid w:val="716A629D"/>
    <w:rsid w:val="71B257A2"/>
    <w:rsid w:val="7271397D"/>
    <w:rsid w:val="72CF5DC9"/>
    <w:rsid w:val="72ED266E"/>
    <w:rsid w:val="732268E3"/>
    <w:rsid w:val="734E4F5B"/>
    <w:rsid w:val="73621D5C"/>
    <w:rsid w:val="7401670B"/>
    <w:rsid w:val="742B4519"/>
    <w:rsid w:val="75142BA3"/>
    <w:rsid w:val="75B371EA"/>
    <w:rsid w:val="78F26174"/>
    <w:rsid w:val="79BB1E11"/>
    <w:rsid w:val="7A723006"/>
    <w:rsid w:val="7AC22497"/>
    <w:rsid w:val="7B574227"/>
    <w:rsid w:val="7BB81F89"/>
    <w:rsid w:val="7BF81100"/>
    <w:rsid w:val="7C25521D"/>
    <w:rsid w:val="7C346A18"/>
    <w:rsid w:val="7C3671B8"/>
    <w:rsid w:val="7C7E4530"/>
    <w:rsid w:val="7C9C3F69"/>
    <w:rsid w:val="7D9626A1"/>
    <w:rsid w:val="7E8C30A7"/>
    <w:rsid w:val="7F0A7E86"/>
    <w:rsid w:val="7F2E1CF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caption"/>
    <w:basedOn w:val="1"/>
    <w:next w:val="1"/>
    <w:unhideWhenUsed/>
    <w:qFormat/>
    <w:uiPriority w:val="35"/>
    <w:rPr>
      <w:rFonts w:ascii="Arial" w:hAnsi="Arial" w:eastAsia="黑体"/>
      <w:sz w:val="20"/>
    </w:rPr>
  </w:style>
  <w:style w:type="paragraph" w:styleId="3">
    <w:name w:val="annotation text"/>
    <w:basedOn w:val="1"/>
    <w:qFormat/>
    <w:uiPriority w:val="0"/>
    <w:pPr>
      <w:jc w:val="left"/>
    </w:pPr>
  </w:style>
  <w:style w:type="paragraph" w:styleId="4">
    <w:name w:val="Body Text Indent"/>
    <w:basedOn w:val="1"/>
    <w:qFormat/>
    <w:uiPriority w:val="0"/>
    <w:pPr>
      <w:spacing w:after="120"/>
      <w:ind w:left="420" w:leftChars="200"/>
    </w:pPr>
  </w:style>
  <w:style w:type="paragraph" w:styleId="5">
    <w:name w:val="footer"/>
    <w:basedOn w:val="1"/>
    <w:unhideWhenUsed/>
    <w:qFormat/>
    <w:uiPriority w:val="0"/>
    <w:pPr>
      <w:tabs>
        <w:tab w:val="center" w:pos="4153"/>
        <w:tab w:val="right" w:pos="8306"/>
      </w:tabs>
      <w:snapToGrid w:val="0"/>
    </w:pPr>
    <w:rPr>
      <w:sz w:val="18"/>
      <w:szCs w:val="18"/>
    </w:rPr>
  </w:style>
  <w:style w:type="paragraph" w:styleId="6">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style>
  <w:style w:type="paragraph" w:styleId="8">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0">
    <w:name w:val="Body Text First Indent 2"/>
    <w:basedOn w:val="4"/>
    <w:link w:val="30"/>
    <w:qFormat/>
    <w:uiPriority w:val="0"/>
    <w:pPr>
      <w:ind w:firstLine="420" w:firstLineChars="200"/>
    </w:pPr>
  </w:style>
  <w:style w:type="table" w:styleId="12">
    <w:name w:val="Table Grid"/>
    <w:basedOn w:val="1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unhideWhenUsed/>
    <w:qFormat/>
    <w:uiPriority w:val="99"/>
    <w:rPr>
      <w:color w:val="0563C1"/>
      <w:u w:val="single"/>
    </w:rPr>
  </w:style>
  <w:style w:type="character" w:styleId="15">
    <w:name w:val="annotation reference"/>
    <w:basedOn w:val="13"/>
    <w:qFormat/>
    <w:uiPriority w:val="0"/>
    <w:rPr>
      <w:sz w:val="21"/>
      <w:szCs w:val="21"/>
    </w:rPr>
  </w:style>
  <w:style w:type="paragraph" w:customStyle="1" w:styleId="16">
    <w:name w:val="章标题"/>
    <w:next w:val="17"/>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17">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8">
    <w:name w:val="一级条标题"/>
    <w:next w:val="17"/>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19">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20">
    <w:name w:val="二级无"/>
    <w:basedOn w:val="1"/>
    <w:qFormat/>
    <w:uiPriority w:val="0"/>
    <w:pPr>
      <w:widowControl/>
      <w:numPr>
        <w:ilvl w:val="2"/>
        <w:numId w:val="1"/>
      </w:numPr>
      <w:jc w:val="left"/>
      <w:outlineLvl w:val="3"/>
    </w:pPr>
    <w:rPr>
      <w:rFonts w:ascii="宋体"/>
      <w:kern w:val="0"/>
      <w:szCs w:val="21"/>
    </w:rPr>
  </w:style>
  <w:style w:type="paragraph" w:customStyle="1" w:styleId="21">
    <w:name w:val="List Paragraph"/>
    <w:basedOn w:val="1"/>
    <w:qFormat/>
    <w:uiPriority w:val="34"/>
    <w:pPr>
      <w:ind w:firstLine="420"/>
    </w:pPr>
  </w:style>
  <w:style w:type="paragraph" w:customStyle="1" w:styleId="22">
    <w:name w:val="条2"/>
    <w:basedOn w:val="23"/>
    <w:qFormat/>
    <w:uiPriority w:val="0"/>
    <w:pPr>
      <w:ind w:firstLine="0"/>
    </w:pPr>
    <w:rPr>
      <w:rFonts w:ascii="仿宋" w:hAnsi="仿宋"/>
      <w:sz w:val="32"/>
      <w:szCs w:val="32"/>
    </w:rPr>
  </w:style>
  <w:style w:type="paragraph" w:customStyle="1" w:styleId="23">
    <w:name w:val="条"/>
    <w:basedOn w:val="24"/>
    <w:qFormat/>
    <w:uiPriority w:val="0"/>
    <w:pPr>
      <w:numPr>
        <w:ilvl w:val="2"/>
        <w:numId w:val="2"/>
      </w:numPr>
      <w:spacing w:beforeLines="0" w:afterLines="0"/>
      <w:ind w:firstLine="200" w:firstLineChars="200"/>
      <w:jc w:val="both"/>
    </w:pPr>
    <w:rPr>
      <w:rFonts w:ascii="Times New Roman" w:hAnsi="Times New Roman"/>
      <w:b w:val="0"/>
      <w:kern w:val="0"/>
      <w:sz w:val="24"/>
      <w:szCs w:val="24"/>
    </w:rPr>
  </w:style>
  <w:style w:type="paragraph" w:customStyle="1" w:styleId="24">
    <w:name w:val="章节"/>
    <w:basedOn w:val="25"/>
    <w:qFormat/>
    <w:uiPriority w:val="0"/>
    <w:pPr>
      <w:numPr>
        <w:ilvl w:val="0"/>
        <w:numId w:val="2"/>
      </w:numPr>
      <w:spacing w:beforeLines="50"/>
    </w:pPr>
    <w:rPr>
      <w:sz w:val="32"/>
      <w:szCs w:val="32"/>
    </w:rPr>
  </w:style>
  <w:style w:type="paragraph" w:customStyle="1" w:styleId="25">
    <w:name w:val="题目"/>
    <w:basedOn w:val="1"/>
    <w:qFormat/>
    <w:uiPriority w:val="0"/>
    <w:pPr>
      <w:spacing w:beforeLines="100" w:afterLines="50" w:line="360" w:lineRule="auto"/>
      <w:jc w:val="center"/>
    </w:pPr>
    <w:rPr>
      <w:rFonts w:ascii="仿宋" w:hAnsi="仿宋" w:eastAsia="仿宋"/>
      <w:b/>
      <w:sz w:val="44"/>
      <w:szCs w:val="44"/>
    </w:rPr>
  </w:style>
  <w:style w:type="paragraph" w:customStyle="1" w:styleId="26">
    <w:name w:val="正文内容"/>
    <w:basedOn w:val="27"/>
    <w:qFormat/>
    <w:uiPriority w:val="0"/>
    <w:pPr>
      <w:numPr>
        <w:ilvl w:val="3"/>
        <w:numId w:val="0"/>
      </w:numPr>
      <w:ind w:firstLine="640" w:firstLineChars="200"/>
    </w:pPr>
  </w:style>
  <w:style w:type="paragraph" w:customStyle="1" w:styleId="27">
    <w:name w:val="项"/>
    <w:basedOn w:val="23"/>
    <w:qFormat/>
    <w:uiPriority w:val="0"/>
    <w:pPr>
      <w:numPr>
        <w:ilvl w:val="3"/>
        <w:numId w:val="2"/>
      </w:numPr>
    </w:pPr>
    <w:rPr>
      <w:rFonts w:ascii="仿宋" w:hAnsi="仿宋"/>
      <w:sz w:val="32"/>
      <w:szCs w:val="32"/>
    </w:rPr>
  </w:style>
  <w:style w:type="paragraph" w:customStyle="1" w:styleId="28">
    <w:name w:val="WPSOffice手动目录 1"/>
    <w:qFormat/>
    <w:uiPriority w:val="0"/>
    <w:rPr>
      <w:rFonts w:ascii="Times New Roman" w:hAnsi="Times New Roman" w:eastAsia="宋体" w:cs="Times New Roman"/>
      <w:lang w:val="en-US" w:eastAsia="zh-CN" w:bidi="ar-SA"/>
    </w:rPr>
  </w:style>
  <w:style w:type="character" w:customStyle="1" w:styleId="29">
    <w:name w:val="bjh-p"/>
    <w:basedOn w:val="13"/>
    <w:qFormat/>
    <w:uiPriority w:val="0"/>
  </w:style>
  <w:style w:type="character" w:customStyle="1" w:styleId="30">
    <w:name w:val="正文首行缩进 2 Char"/>
    <w:basedOn w:val="13"/>
    <w:link w:val="10"/>
    <w:qFormat/>
    <w:uiPriority w:val="0"/>
    <w:rPr>
      <w:rFonts w:ascii="Calibri" w:hAnsi="Calibri" w:eastAsia="宋体" w:cs="黑体"/>
      <w:kern w:val="2"/>
      <w:sz w:val="21"/>
      <w:szCs w:val="22"/>
    </w:rPr>
  </w:style>
  <w:style w:type="table" w:customStyle="1" w:styleId="31">
    <w:name w:val="网格表 4 - 着色 11"/>
    <w:basedOn w:val="11"/>
    <w:qFormat/>
    <w:uiPriority w:val="49"/>
    <w:tblPr>
      <w:tblBorders>
        <w:top w:val="single" w:color="93D07C" w:sz="4" w:space="0"/>
        <w:left w:val="single" w:color="93D07C" w:sz="4" w:space="0"/>
        <w:bottom w:val="single" w:color="93D07C" w:sz="4" w:space="0"/>
        <w:right w:val="single" w:color="93D07C" w:sz="4" w:space="0"/>
        <w:insideH w:val="single" w:color="93D07C" w:sz="4" w:space="0"/>
        <w:insideV w:val="single" w:color="93D07C" w:sz="4" w:space="0"/>
      </w:tblBorders>
    </w:tblPr>
    <w:tblStylePr w:type="firstRow">
      <w:rPr>
        <w:b/>
        <w:bCs/>
        <w:color w:val="FFFFFF"/>
      </w:rPr>
      <w:tcPr>
        <w:tcBorders>
          <w:top w:val="single" w:color="549E39" w:sz="4" w:space="0"/>
          <w:left w:val="single" w:color="549E39" w:sz="4" w:space="0"/>
          <w:bottom w:val="single" w:color="549E39" w:sz="4" w:space="0"/>
          <w:right w:val="single" w:color="549E39" w:sz="4" w:space="0"/>
          <w:insideH w:val="nil"/>
          <w:insideV w:val="nil"/>
          <w:tl2br w:val="nil"/>
          <w:tr2bl w:val="nil"/>
        </w:tcBorders>
        <w:shd w:val="clear" w:color="auto" w:fill="549E39"/>
      </w:tcPr>
    </w:tblStylePr>
    <w:tblStylePr w:type="lastRow">
      <w:rPr>
        <w:b/>
        <w:bCs/>
      </w:rPr>
      <w:tcPr>
        <w:tcBorders>
          <w:top w:val="double" w:color="549E39"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AEFD3"/>
      </w:tcPr>
    </w:tblStylePr>
    <w:tblStylePr w:type="band1Horz">
      <w:tcPr>
        <w:shd w:val="clear" w:color="auto" w:fill="DAEFD3"/>
      </w:tcPr>
    </w:tblStyle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extobjs>
    <extobj name="ECB019B1-382A-4266-B25C-5B523AA43C14-1">
      <extobjdata type="ECB019B1-382A-4266-B25C-5B523AA43C14" data="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"/>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daohangxitong.com</Company>
  <Pages>45</Pages>
  <Words>19105</Words>
  <Characters>20987</Characters>
  <Lines>163</Lines>
  <Paragraphs>46</Paragraphs>
  <TotalTime>65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2021-09-26T09:20:00Z</dcterms:created>
  <dc:creator>lenovo</dc:creator>
  <cp:lastModifiedBy>Lee</cp:lastModifiedBy>
  <cp:lastPrinted>2021-10-18T05:44:00Z</cp:lastPrinted>
  <dcterms:modified xsi:type="dcterms:W3CDTF">2021-12-13T02:55:42Z</dcterms:modified>
  <dc:title>绵阳市商业银行股份有限公司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D01AB9E669AB4A91AC9C301E352EFCF8</vt:lpwstr>
  </property>
</Properties>
</file>