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中国人民银行 国家金融监督管理总局</w:t>
      </w:r>
      <w:r>
        <w:rPr>
          <w:rFonts w:hint="eastAsia"/>
          <w:lang w:val="en-US" w:eastAsia="zh-CN"/>
        </w:rPr>
        <w:t xml:space="preserve">             </w:t>
      </w:r>
      <w:r>
        <w:t>关于降低存量首套住房贷款利率</w:t>
      </w:r>
      <w:r>
        <w:rPr>
          <w:rFonts w:hint="eastAsia"/>
          <w:lang w:val="en-US" w:eastAsia="zh-CN"/>
        </w:rPr>
        <w:t xml:space="preserve">                  </w:t>
      </w:r>
      <w:r>
        <w:t>有关事项的通知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10" w:beforeAutospacing="0" w:after="157" w:afterLines="50" w:afterAutospacing="0" w:line="240" w:lineRule="auto"/>
        <w:ind w:right="0"/>
        <w:textAlignment w:val="auto"/>
        <w:rPr>
          <w:rFonts w:hint="eastAsia" w:ascii="Arial" w:hAnsi="Arial" w:cs="Arial"/>
          <w:i w:val="0"/>
          <w:iCs w:val="0"/>
          <w:caps w:val="0"/>
          <w:color w:val="222222"/>
          <w:spacing w:val="0"/>
          <w:sz w:val="27"/>
          <w:szCs w:val="27"/>
          <w:shd w:val="clear" w:color="auto" w:fill="FFFFFF"/>
          <w:lang w:val="en-US" w:eastAsia="zh-CN"/>
        </w:rPr>
      </w:pPr>
      <w:r>
        <w:rPr>
          <w:rFonts w:hint="default" w:ascii="Arial" w:hAnsi="Arial" w:cs="Arial"/>
          <w:i w:val="0"/>
          <w:iCs w:val="0"/>
          <w:caps w:val="0"/>
          <w:color w:val="222222"/>
          <w:spacing w:val="0"/>
          <w:sz w:val="27"/>
          <w:szCs w:val="27"/>
          <w:shd w:val="clear" w:color="auto" w:fill="FFFFFF"/>
        </w:rPr>
        <w:t>中国人民银行上海总部，各省、自治区、直辖市、计划单列市分行；国家金融监督管理总局各监管局；各国有商业银行，中国邮政储蓄银行，各股份制商业银行：</w:t>
      </w:r>
      <w:r>
        <w:rPr>
          <w:rFonts w:hint="eastAsia" w:ascii="Arial" w:hAnsi="Arial" w:cs="Arial"/>
          <w:i w:val="0"/>
          <w:iCs w:val="0"/>
          <w:caps w:val="0"/>
          <w:color w:val="222222"/>
          <w:spacing w:val="0"/>
          <w:sz w:val="27"/>
          <w:szCs w:val="27"/>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为落实党中央、国务院决策部署，坚持房子是用来住的、不是用来炒的定位，引导商业性个人住房贷款借贷双方有序调整优化资产负债，规范住房信贷市场秩序，现就降低存量首套住房商业性个人住房贷款利率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一、存量首套住房商业性个人住房贷款，是指2023年8月31日前金融机构已发放的和已签订合同但未发放的首套住房商业性个人住房贷款，或借款人实际住房情况符合所在城市首套住房标准的其他存量住房商业性个人住房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二、自2023年9月25日起，存量首套住房商业性个人住房贷款的借款人可向承贷金融机构提出申请，由该金融机构新发放贷款置换存量首套住房商业性个人住房贷款。新发放贷款的利率水平由金融机构与借款人自主协商确定，但在贷款市场报价利率（LPR）上的加点幅度，不得低于原贷款发放时所在城市首套住房商业性个人住房贷款利率政策下限。新发放的贷款只能用于偿还存量首套住房商业性个人住房贷款，仍纳入商业性个人住房贷款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left="0" w:right="0" w:firstLine="540" w:firstLineChars="20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三、自2023年9月25日起，存量首套住房商业性个人住房贷款的借款人亦可向承贷金融机构提出申请，协商变更合同约定的利率水平，变更后的贷款合同利率水平应符合本通知第二条的规定。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四、金融机构应严格落实相关监管要求，对借款人申请经营性贷款和个人消费贷款等贷款的用途进行穿透式、实质性审核，并明确提示风险。对存在协助借款人利用经营性贷款和个人消费贷款等违规置换存量商业性个人住房贷款行为的中介机构一律不得进行合作，并严肃处理存在上述行为的内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57" w:afterLines="50" w:afterAutospacing="0" w:line="24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五、各金融机构要抓紧制定具体操作细则，做好组织实施，提高服务水平，及时响应借款人申请，尽可能采取便捷措施，降低借款人操作成本，确保本通知有关要求落实到位。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0" w:beforeAutospacing="0" w:after="157" w:afterLines="50" w:afterAutospacing="0" w:line="240" w:lineRule="auto"/>
        <w:ind w:left="0" w:right="0" w:firstLine="540" w:firstLineChars="200"/>
        <w:textAlignment w:val="auto"/>
        <w:rPr>
          <w:rFonts w:hint="eastAsia" w:ascii="Arial" w:hAnsi="Arial" w:cs="Arial"/>
          <w:i w:val="0"/>
          <w:iCs w:val="0"/>
          <w:caps w:val="0"/>
          <w:color w:val="222222"/>
          <w:spacing w:val="0"/>
          <w:sz w:val="27"/>
          <w:szCs w:val="27"/>
          <w:shd w:val="clear" w:color="auto" w:fill="FFFFFF"/>
          <w:lang w:val="en-US" w:eastAsia="zh-CN"/>
        </w:rPr>
      </w:pPr>
      <w:r>
        <w:rPr>
          <w:rFonts w:hint="default" w:ascii="Arial" w:hAnsi="Arial" w:cs="Arial"/>
          <w:i w:val="0"/>
          <w:iCs w:val="0"/>
          <w:caps w:val="0"/>
          <w:color w:val="222222"/>
          <w:spacing w:val="0"/>
          <w:sz w:val="27"/>
          <w:szCs w:val="27"/>
          <w:shd w:val="clear" w:color="auto" w:fill="FFFFFF"/>
        </w:rPr>
        <w:t>六、中国人民银行和金融监管总局各分支机构要将本通知立即转发辖内地方法人金融机构，督促贯彻执行，有效维护市场秩序。</w:t>
      </w:r>
      <w:r>
        <w:rPr>
          <w:rFonts w:hint="eastAsia" w:ascii="Arial" w:hAnsi="Arial" w:cs="Arial"/>
          <w:i w:val="0"/>
          <w:iCs w:val="0"/>
          <w:caps w:val="0"/>
          <w:color w:val="222222"/>
          <w:spacing w:val="0"/>
          <w:sz w:val="27"/>
          <w:szCs w:val="27"/>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0" w:beforeAutospacing="0" w:after="157" w:afterLines="50" w:afterAutospacing="0" w:line="240" w:lineRule="auto"/>
        <w:ind w:left="0" w:right="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本通知自2023年9月25日起实施。此前相关规定与本通知不一致的，以本通知为准。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360" w:beforeAutospacing="0" w:after="0" w:afterAutospacing="0" w:line="240" w:lineRule="auto"/>
        <w:ind w:left="5376" w:leftChars="2560" w:right="0" w:firstLine="540" w:firstLineChars="200"/>
        <w:jc w:val="center"/>
        <w:textAlignment w:val="auto"/>
        <w:rPr>
          <w:color w:val="222222"/>
          <w:sz w:val="27"/>
          <w:szCs w:val="27"/>
        </w:rPr>
      </w:pPr>
      <w:r>
        <w:rPr>
          <w:rFonts w:hint="default" w:ascii="Arial" w:hAnsi="Arial" w:cs="Arial"/>
          <w:i w:val="0"/>
          <w:iCs w:val="0"/>
          <w:caps w:val="0"/>
          <w:color w:val="222222"/>
          <w:spacing w:val="0"/>
          <w:sz w:val="27"/>
          <w:szCs w:val="27"/>
          <w:shd w:val="clear" w:color="auto" w:fill="FFFFFF"/>
        </w:rPr>
        <w:t>中国人民银行</w:t>
      </w:r>
      <w:r>
        <w:rPr>
          <w:rFonts w:hint="eastAsia" w:ascii="Arial" w:hAnsi="Arial" w:cs="Arial"/>
          <w:i w:val="0"/>
          <w:iCs w:val="0"/>
          <w:caps w:val="0"/>
          <w:color w:val="222222"/>
          <w:spacing w:val="0"/>
          <w:sz w:val="27"/>
          <w:szCs w:val="27"/>
          <w:shd w:val="clear" w:color="auto" w:fill="FFFFFF"/>
          <w:lang w:val="en-US" w:eastAsia="zh-CN"/>
        </w:rPr>
        <w:t xml:space="preserve">                                                </w:t>
      </w:r>
      <w:r>
        <w:rPr>
          <w:rFonts w:hint="default" w:ascii="Arial" w:hAnsi="Arial" w:cs="Arial"/>
          <w:i w:val="0"/>
          <w:iCs w:val="0"/>
          <w:caps w:val="0"/>
          <w:color w:val="222222"/>
          <w:spacing w:val="0"/>
          <w:sz w:val="27"/>
          <w:szCs w:val="27"/>
          <w:shd w:val="clear" w:color="auto" w:fill="FFFFFF"/>
        </w:rPr>
        <w:t>国家金融监督管理总</w:t>
      </w:r>
      <w:r>
        <w:rPr>
          <w:rFonts w:hint="eastAsia" w:ascii="Arial" w:hAnsi="Arial" w:cs="Arial"/>
          <w:i w:val="0"/>
          <w:iCs w:val="0"/>
          <w:caps w:val="0"/>
          <w:color w:val="222222"/>
          <w:spacing w:val="0"/>
          <w:sz w:val="27"/>
          <w:szCs w:val="27"/>
          <w:shd w:val="clear" w:color="auto" w:fill="FFFFFF"/>
          <w:lang w:eastAsia="zh-CN"/>
        </w:rPr>
        <w:t>局</w:t>
      </w:r>
      <w:r>
        <w:rPr>
          <w:rFonts w:hint="eastAsia" w:ascii="Arial" w:hAnsi="Arial" w:cs="Arial"/>
          <w:i w:val="0"/>
          <w:iCs w:val="0"/>
          <w:caps w:val="0"/>
          <w:color w:val="222222"/>
          <w:spacing w:val="0"/>
          <w:sz w:val="27"/>
          <w:szCs w:val="27"/>
          <w:shd w:val="clear" w:color="auto" w:fill="FFFFFF"/>
          <w:lang w:val="en-US" w:eastAsia="zh-CN"/>
        </w:rPr>
        <w:t xml:space="preserve"> </w:t>
      </w:r>
      <w:r>
        <w:rPr>
          <w:rFonts w:hint="default" w:ascii="Arial" w:hAnsi="Arial" w:cs="Arial"/>
          <w:i w:val="0"/>
          <w:iCs w:val="0"/>
          <w:caps w:val="0"/>
          <w:color w:val="222222"/>
          <w:spacing w:val="0"/>
          <w:sz w:val="27"/>
          <w:szCs w:val="27"/>
          <w:shd w:val="clear" w:color="auto" w:fill="FFFFFF"/>
        </w:rPr>
        <w:t>2023年</w:t>
      </w:r>
      <w:r>
        <w:rPr>
          <w:rFonts w:hint="eastAsia" w:ascii="Arial" w:hAnsi="Arial" w:cs="Arial"/>
          <w:i w:val="0"/>
          <w:iCs w:val="0"/>
          <w:caps w:val="0"/>
          <w:color w:val="222222"/>
          <w:spacing w:val="0"/>
          <w:sz w:val="27"/>
          <w:szCs w:val="27"/>
          <w:shd w:val="clear" w:color="auto" w:fill="FFFFFF"/>
          <w:lang w:val="en-US" w:eastAsia="zh-CN"/>
        </w:rPr>
        <w:t>8</w:t>
      </w:r>
      <w:r>
        <w:rPr>
          <w:rFonts w:hint="default" w:ascii="Arial" w:hAnsi="Arial" w:cs="Arial"/>
          <w:i w:val="0"/>
          <w:iCs w:val="0"/>
          <w:caps w:val="0"/>
          <w:color w:val="222222"/>
          <w:spacing w:val="0"/>
          <w:sz w:val="27"/>
          <w:szCs w:val="27"/>
          <w:shd w:val="clear" w:color="auto" w:fill="FFFFFF"/>
        </w:rPr>
        <w:t>月</w:t>
      </w:r>
      <w:r>
        <w:rPr>
          <w:rFonts w:hint="eastAsia" w:ascii="Arial" w:hAnsi="Arial" w:cs="Arial"/>
          <w:i w:val="0"/>
          <w:iCs w:val="0"/>
          <w:caps w:val="0"/>
          <w:color w:val="222222"/>
          <w:spacing w:val="0"/>
          <w:sz w:val="27"/>
          <w:szCs w:val="27"/>
          <w:shd w:val="clear" w:color="auto" w:fill="FFFFFF"/>
          <w:lang w:val="en-US" w:eastAsia="zh-CN"/>
        </w:rPr>
        <w:t>31</w:t>
      </w:r>
      <w:bookmarkStart w:id="0" w:name="_GoBack"/>
      <w:bookmarkEnd w:id="0"/>
      <w:r>
        <w:rPr>
          <w:rFonts w:hint="default" w:ascii="Arial" w:hAnsi="Arial" w:cs="Arial"/>
          <w:i w:val="0"/>
          <w:iCs w:val="0"/>
          <w:caps w:val="0"/>
          <w:color w:val="222222"/>
          <w:spacing w:val="0"/>
          <w:sz w:val="27"/>
          <w:szCs w:val="27"/>
          <w:shd w:val="clear" w:color="auto" w:fill="FFFFFF"/>
        </w:rPr>
        <w:t>日</w:t>
      </w:r>
    </w:p>
    <w:p>
      <w:pPr>
        <w:pageBreakBefore w:val="0"/>
        <w:kinsoku/>
        <w:wordWrap/>
        <w:overflowPunct/>
        <w:topLinePunct w:val="0"/>
        <w:autoSpaceDE/>
        <w:autoSpaceDN/>
        <w:bidi w:val="0"/>
        <w:snapToGrid/>
        <w:spacing w:line="24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DJjYmFkZjc5M2QyZWVkNDIxZmQzMWYwMTc0MzgifQ=="/>
  </w:docVars>
  <w:rsids>
    <w:rsidRoot w:val="00000000"/>
    <w:rsid w:val="07F76C22"/>
    <w:rsid w:val="58382203"/>
    <w:rsid w:val="7D983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2023-09-05T01:25:47Z</dcterms:created>
  <dc:creator>Administrator</dc:creator>
  <cp:lastModifiedBy> </cp:lastModifiedBy>
  <dcterms:modified xsi:type="dcterms:W3CDTF">2023-09-06T02:34:33Z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E9DCE07F8B8E495C9E87241D4F4BE6BC_13</vt:lpwstr>
  </property>
</Properties>
</file>